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5" w:rsidRDefault="003D3355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355" w:rsidRDefault="003D3355" w:rsidP="003D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Calendarul lansărilor apelurilor de proiecte POR 2014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</w:p>
    <w:p w:rsidR="00AD6D83" w:rsidRPr="00AD6D83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În cadrul reuniunii Comitetului de Monitorizare pentru POR 2014 – 2020, de miercuri,  2 martie, a fost aprobat calendarul de lansare a apelurilor de proiecte aferente priorităților de investiţii ce vizează următoarele</w:t>
      </w:r>
      <w:r w:rsidRPr="00AD6D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D83">
        <w:rPr>
          <w:rFonts w:ascii="Times New Roman" w:eastAsia="Times New Roman" w:hAnsi="Times New Roman" w:cs="Times New Roman"/>
          <w:bCs/>
          <w:sz w:val="24"/>
          <w:szCs w:val="24"/>
        </w:rPr>
        <w:t>tipuri de interventii:</w:t>
      </w:r>
      <w:r w:rsidRPr="00AD6D83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drumuri judetene, eficienta energetica in cladiri rezidentiale, patrimoniu cultural, microintreprinderi, revitalizarea zonelor urbane degradate si turism.</w:t>
      </w:r>
      <w:r w:rsidRPr="00AD6D8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5CF2" w:rsidRDefault="00865CF2" w:rsidP="00865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Prioritatea de investiţii 6.1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„Stimularea mobilității regionale prin conectarea nodurilor secundare și terțiare la infrastructura TEN-T, inclusiv a nodurilor multimodale”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 (buget previzionat la nivel naţional pentru apelul de proiecte: 699,97 mil. EUR) va fi prima linie de finanţare lansată,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 februarie – 4 martie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Prioritatea de investiţii 3.1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„Sprijinirea eficienței energetice, a gestionării inteligente a energiei și a utilizării energiei din surse regenerabile în infrastructurile publice, inclusiv în clădirile publice, și în sectorul locuințelor – CLĂDIRI REZIDENȚIALE”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 (buget previzionat la nivel naţional pentru apelul de proiecte: 452,56 mil. EUR) va fi lansată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– 12 martie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Prioritatea de investiţii 5.2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„Realizarea de acțiuni destinate îmbunătățirii mediului urban, revitalizării orașelor, regenerării și decontaminării terenurilor industriale dezafectate (inclusiv a zonelor de reconversie), reducerii poluării aerului și promovării măsurilor de reducere a zgomotului”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 (buget previzionat la nivel naţional pentru apelul de proiecte: 89,37 mil. EUR) va fi lansată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– 18 martie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Prioritatea de investiţii 5.1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„Conservarea, protejarea, promovarea și dezvoltarea patrimoniului natural și cultural”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 (buget previzionat la nivel naţional pentru apelul de proiecte: 233,58 mil. EUR) va fi lansată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 – 25 martie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Prioritatea de investiţii 2.1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„Promovarea spiritului antreprenorial, în special prin facilitarea exploatării economice a ideilor noi și prin încurajarea creării de noi întreprinderi, inclusiv prin incubatoare de afaceri – Microîntreprinderi” 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(buget previzionat la nivel naţional pentru apelul de proiecte: 199 mil. EUR) va fi lansată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martie – 1 aprilie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Prioritatea de investiţii 7.1 </w:t>
      </w:r>
      <w:r w:rsidRPr="00AD6D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„Sprijinirea unei creșteri favorabile ocupării forței de muncă, prin dezvoltarea potențialului endogen ca parte a unei strategii teritoriale pentru anumite zone, care să includă reconversia regiunilor industriale aflate în declin, precum și sporirea accesibilității și dezvoltarea resurselor naturale și culturale specifice”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 (buget previzionat la nivel naţional pentru apelul de proiecte: 84,44 mil. EUR) va fi lansată în perioada </w:t>
      </w:r>
      <w:r w:rsidRPr="00AD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martie – 1 aprilie 2016</w:t>
      </w: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CF2" w:rsidRDefault="00AD6D83" w:rsidP="00865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8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Lansarea apelurilor de proiecte nu echivalează cu momentul depunerii cererilor de finanțare. După momentul lansării apelurilor de proiecte se acordă beneficiarilor o perioadă de timp de minim o lună pentru pregătirea documentației și depunerea proiectelor, ceea ce permite lansarea în paralel a sistemului informatic MYSMIS.</w:t>
      </w:r>
    </w:p>
    <w:p w:rsidR="00677471" w:rsidRPr="00AD6D83" w:rsidRDefault="00AD6D83" w:rsidP="00865C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D6D8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D6D83">
        <w:rPr>
          <w:rFonts w:ascii="Arial" w:eastAsia="Times New Roman" w:hAnsi="Arial" w:cs="Arial"/>
          <w:color w:val="000000"/>
          <w:sz w:val="20"/>
          <w:szCs w:val="20"/>
        </w:rPr>
        <w:br/>
      </w:r>
    </w:p>
    <w:sectPr w:rsidR="00677471" w:rsidRPr="00AD6D83" w:rsidSect="00865CF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83"/>
    <w:rsid w:val="003D3355"/>
    <w:rsid w:val="00677471"/>
    <w:rsid w:val="00865CF2"/>
    <w:rsid w:val="00A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34FF9-04F4-47E5-859E-0DE1B08E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8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6D83"/>
  </w:style>
  <w:style w:type="character" w:styleId="Strong">
    <w:name w:val="Strong"/>
    <w:basedOn w:val="DefaultParagraphFont"/>
    <w:uiPriority w:val="22"/>
    <w:qFormat/>
    <w:rsid w:val="00AD6D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654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0434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3013-E35B-4442-AC71-816E8170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Marcu</dc:creator>
  <cp:keywords/>
  <dc:description/>
  <cp:lastModifiedBy>Simona Covrescu</cp:lastModifiedBy>
  <cp:revision>2</cp:revision>
  <cp:lastPrinted>2016-03-04T07:20:00Z</cp:lastPrinted>
  <dcterms:created xsi:type="dcterms:W3CDTF">2016-03-04T07:58:00Z</dcterms:created>
  <dcterms:modified xsi:type="dcterms:W3CDTF">2016-03-04T07:58:00Z</dcterms:modified>
</cp:coreProperties>
</file>