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DE" w:rsidRPr="005B5EF5" w:rsidRDefault="00EB7495" w:rsidP="00F770DE">
      <w:pPr>
        <w:pStyle w:val="Normal1"/>
        <w:spacing w:before="0" w:after="0"/>
      </w:pPr>
      <w:bookmarkStart w:id="0" w:name="_GoBack"/>
      <w:bookmarkEnd w:id="0"/>
      <w:r>
        <w:rPr>
          <w:b/>
          <w:sz w:val="32"/>
          <w:szCs w:val="32"/>
        </w:rPr>
        <w:t>ANEXA 10</w:t>
      </w:r>
      <w:r w:rsidR="00627B95">
        <w:rPr>
          <w:b/>
          <w:sz w:val="32"/>
          <w:szCs w:val="32"/>
        </w:rPr>
        <w:t xml:space="preserve">.2 </w:t>
      </w:r>
      <w:r w:rsidR="00F770DE">
        <w:rPr>
          <w:b/>
          <w:sz w:val="32"/>
          <w:szCs w:val="32"/>
        </w:rPr>
        <w:t>-</w:t>
      </w:r>
      <w:r w:rsidR="00F770DE" w:rsidRPr="00F770DE">
        <w:t xml:space="preserve"> </w:t>
      </w:r>
      <w:r w:rsidR="00F770DE" w:rsidRPr="00BF6C37">
        <w:rPr>
          <w:b/>
          <w:sz w:val="32"/>
          <w:szCs w:val="32"/>
        </w:rPr>
        <w:t>Alocări financiare, inclusiv alocările pentru impleme</w:t>
      </w:r>
      <w:r w:rsidR="00BF6C37">
        <w:rPr>
          <w:b/>
          <w:sz w:val="32"/>
          <w:szCs w:val="32"/>
        </w:rPr>
        <w:t>n</w:t>
      </w:r>
      <w:r w:rsidR="00F770DE" w:rsidRPr="00BF6C37">
        <w:rPr>
          <w:b/>
          <w:sz w:val="32"/>
          <w:szCs w:val="32"/>
        </w:rPr>
        <w:t>tarea SUERD, ITI, precum și detalierea sumelor aferente rezervei de performanță.</w:t>
      </w:r>
    </w:p>
    <w:p w:rsidR="001D3305" w:rsidRDefault="001D3305" w:rsidP="00627B95">
      <w:pPr>
        <w:spacing w:before="0" w:after="0"/>
        <w:jc w:val="center"/>
        <w:rPr>
          <w:b/>
          <w:sz w:val="32"/>
          <w:szCs w:val="32"/>
        </w:rPr>
      </w:pPr>
    </w:p>
    <w:p w:rsidR="00627B95" w:rsidRDefault="00627B95" w:rsidP="00627B95">
      <w:pPr>
        <w:spacing w:before="0" w:after="0"/>
        <w:jc w:val="both"/>
        <w:rPr>
          <w:b/>
        </w:rPr>
      </w:pPr>
      <w:r w:rsidRPr="00AB009C">
        <w:rPr>
          <w:b/>
          <w:sz w:val="32"/>
          <w:szCs w:val="32"/>
        </w:rPr>
        <w:t xml:space="preserve">TABEL </w:t>
      </w:r>
      <w:r w:rsidR="00F770DE">
        <w:rPr>
          <w:b/>
          <w:sz w:val="32"/>
          <w:szCs w:val="32"/>
        </w:rPr>
        <w:t>1</w:t>
      </w:r>
      <w:r w:rsidRPr="00AB009C">
        <w:rPr>
          <w:b/>
          <w:sz w:val="32"/>
          <w:szCs w:val="32"/>
        </w:rPr>
        <w:t>:</w:t>
      </w:r>
      <w:r w:rsidRPr="00AB009C">
        <w:rPr>
          <w:b/>
        </w:rPr>
        <w:t xml:space="preserve">  Alocări financiare </w:t>
      </w:r>
      <w:r w:rsidR="003537AA">
        <w:rPr>
          <w:b/>
        </w:rPr>
        <w:t>orientative</w:t>
      </w:r>
      <w:r w:rsidRPr="00AB009C">
        <w:rPr>
          <w:b/>
        </w:rPr>
        <w:t xml:space="preserve"> POR 2014-2020</w:t>
      </w:r>
      <w:r w:rsidR="00DC3398">
        <w:rPr>
          <w:b/>
        </w:rPr>
        <w:t xml:space="preserve"> (milioane euro)</w:t>
      </w:r>
    </w:p>
    <w:p w:rsidR="000A4505" w:rsidRDefault="000A4505" w:rsidP="00627B95">
      <w:pPr>
        <w:spacing w:before="0" w:after="0"/>
        <w:jc w:val="both"/>
        <w:rPr>
          <w:b/>
        </w:rPr>
      </w:pPr>
    </w:p>
    <w:p w:rsidR="000A4505" w:rsidRDefault="000A4505" w:rsidP="00627B95">
      <w:pPr>
        <w:spacing w:before="0" w:after="0"/>
        <w:jc w:val="both"/>
        <w:rPr>
          <w:b/>
        </w:rPr>
      </w:pPr>
    </w:p>
    <w:tbl>
      <w:tblPr>
        <w:tblW w:w="138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85"/>
        <w:gridCol w:w="690"/>
        <w:gridCol w:w="1181"/>
        <w:gridCol w:w="1012"/>
        <w:gridCol w:w="1134"/>
        <w:gridCol w:w="850"/>
        <w:gridCol w:w="1134"/>
        <w:gridCol w:w="920"/>
        <w:gridCol w:w="1348"/>
        <w:gridCol w:w="1134"/>
        <w:gridCol w:w="709"/>
        <w:gridCol w:w="709"/>
        <w:gridCol w:w="794"/>
        <w:gridCol w:w="850"/>
      </w:tblGrid>
      <w:tr w:rsidR="00DC3398" w:rsidRPr="00A5775A" w:rsidTr="00DC3398">
        <w:trPr>
          <w:trHeight w:val="1395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Axa prioritară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Fond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Categorie de regiune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Sprijinul din partea Uniunii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Contrapartidă națională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Defalcarea indicativă a contrapartidei naționale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Finanțare totală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Rata de cofinanțare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Alocarea principală (finanțarea totală cu excepția rezervei de performanță)</w:t>
            </w:r>
          </w:p>
        </w:tc>
        <w:tc>
          <w:tcPr>
            <w:tcW w:w="150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Rezerva de performanță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Suma rezervei de performanță ca proporție din sprijinul total din partea Uniunii</w:t>
            </w:r>
          </w:p>
        </w:tc>
      </w:tr>
      <w:tr w:rsidR="00A5775A" w:rsidRPr="00A5775A" w:rsidTr="00DC3398">
        <w:trPr>
          <w:trHeight w:val="915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75A" w:rsidRPr="00DC3398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75A" w:rsidRPr="00DC3398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75A" w:rsidRPr="00DC3398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75A" w:rsidRPr="00DC3398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Finanțarea publică națională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DF744B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hyperlink r:id="rId9" w:anchor="ntr29-L_2014087RO.01000301-E0029" w:history="1">
              <w:r w:rsidR="00A5775A" w:rsidRPr="00DC3398">
                <w:rPr>
                  <w:rFonts w:ascii="Calibri" w:hAnsi="Calibri"/>
                  <w:b/>
                  <w:bCs/>
                  <w:color w:val="FF0000"/>
                  <w:sz w:val="16"/>
                  <w:szCs w:val="16"/>
                  <w:lang w:eastAsia="ro-RO"/>
                </w:rPr>
                <w:t>Finanțarea privată națională (29)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Sprijinul din partea Uniunii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Contrapartidă națională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Sprijinul din partea Uniunii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DF744B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hyperlink r:id="rId10" w:anchor="ntr31-L_2014087RO.01000301-E0031" w:history="1">
              <w:r w:rsidR="00A5775A" w:rsidRPr="00DC3398">
                <w:rPr>
                  <w:rFonts w:ascii="Calibri" w:hAnsi="Calibri"/>
                  <w:b/>
                  <w:bCs/>
                  <w:color w:val="FF0000"/>
                  <w:sz w:val="16"/>
                  <w:szCs w:val="16"/>
                  <w:lang w:eastAsia="ro-RO"/>
                </w:rPr>
                <w:t>Contrapartidă națională (31)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DC3398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</w:pPr>
            <w:r w:rsidRPr="00DC3398">
              <w:rPr>
                <w:rFonts w:ascii="Calibri" w:hAnsi="Calibri"/>
                <w:b/>
                <w:bCs/>
                <w:color w:val="FF0000"/>
                <w:sz w:val="16"/>
                <w:szCs w:val="16"/>
                <w:lang w:eastAsia="ro-RO"/>
              </w:rPr>
              <w:t> </w:t>
            </w:r>
          </w:p>
        </w:tc>
      </w:tr>
      <w:tr w:rsidR="00A5775A" w:rsidRPr="000A4505" w:rsidTr="00DC3398">
        <w:trPr>
          <w:trHeight w:val="315"/>
        </w:trPr>
        <w:tc>
          <w:tcPr>
            <w:tcW w:w="13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both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both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both"/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(b)=(c)+(d)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(c)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(d)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(e)=(a)+(b)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(f)=(a)/(e)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(h)=(a)-(j)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(i)=(b)-(k)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(j)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(k)=(b)*((j)/(a))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(l)=(j)/(a)*100</w:t>
            </w:r>
          </w:p>
        </w:tc>
      </w:tr>
      <w:tr w:rsidR="00A5775A" w:rsidRPr="000A4505" w:rsidTr="00DC3398">
        <w:trPr>
          <w:trHeight w:val="420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175,53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30,98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30,98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206,51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84,99999970945%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165,00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29,12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10,53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1,86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2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Regiuni mai dezvoltate</w:t>
            </w:r>
            <w:r w:rsidR="00B224C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 w:rsidR="00B224C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0,00000000000%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0,00%</w:t>
            </w:r>
          </w:p>
        </w:tc>
      </w:tr>
      <w:tr w:rsidR="00A5775A" w:rsidRPr="000A4505" w:rsidTr="00DC3398">
        <w:trPr>
          <w:trHeight w:val="43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859,82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84,99999981973%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43,85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3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17,29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79,99999305846%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51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lastRenderedPageBreak/>
              <w:t>Axa prioritară 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1.763,39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311,19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2.074,58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84,99999985780%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1.643,81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290,08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119,58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6,78%</w:t>
            </w:r>
          </w:p>
        </w:tc>
      </w:tr>
      <w:tr w:rsidR="00A5775A" w:rsidRPr="000A4505" w:rsidTr="00DC3398">
        <w:trPr>
          <w:trHeight w:val="39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299,99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79,99999993333%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224,63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56,16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15,36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6,40%</w:t>
            </w:r>
          </w:p>
        </w:tc>
      </w:tr>
      <w:tr w:rsidR="00A5775A" w:rsidRPr="000A4505" w:rsidTr="00DC3398">
        <w:trPr>
          <w:trHeight w:val="43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1.178,83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208,03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208,03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1.386,86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84,99999994592%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1.108,10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195,55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70,73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20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5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361,87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63,86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63,86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425,73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84,99999970639%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340,16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60,03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21,71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3,83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51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40,77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79,99999901892%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3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896,81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1.055,07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84,99999995735%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148,76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53,81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39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13,30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79,99999699200%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0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118,90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84,99999966358%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16,76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F17726" w:rsidRPr="000A4505" w:rsidTr="0013704F">
        <w:trPr>
          <w:trHeight w:val="42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604F4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 w:rsidRPr="00604F4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425,53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337,92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337,92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763,45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55,73770492447%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317,65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25,53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F17726" w:rsidRPr="000A4505" w:rsidTr="0013704F">
        <w:trPr>
          <w:trHeight w:val="49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604F4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 w:rsidRPr="00604F4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89,59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94,99999927444%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45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11,82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89,99999323200%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39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254,15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299,00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84,99999988294%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238,90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A5775A" w:rsidRPr="000A4505" w:rsidTr="00DC3398">
        <w:trPr>
          <w:trHeight w:val="39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lastRenderedPageBreak/>
              <w:t>Axa prioritară 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53,19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79,99999924800%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F17726" w:rsidRPr="000A4505" w:rsidTr="0013704F">
        <w:trPr>
          <w:trHeight w:val="40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2A075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 w:rsidRPr="002A075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312,89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84,99999976030%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15,96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6,00%</w:t>
            </w:r>
          </w:p>
        </w:tc>
      </w:tr>
      <w:tr w:rsidR="00F17726" w:rsidRPr="000A4505" w:rsidTr="0013704F">
        <w:trPr>
          <w:trHeight w:val="40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17726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2A075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 w:rsidRPr="002A0759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208,53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50,00000000000%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104,27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17726" w:rsidRPr="000A4505" w:rsidRDefault="00F17726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0,00%</w:t>
            </w:r>
          </w:p>
        </w:tc>
      </w:tr>
      <w:tr w:rsidR="00A5775A" w:rsidRPr="000A4505" w:rsidTr="00DC3398">
        <w:trPr>
          <w:trHeight w:val="48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Axa prioritară 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12,75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50,00000000000%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0,00%</w:t>
            </w:r>
          </w:p>
        </w:tc>
      </w:tr>
      <w:tr w:rsidR="00DC3398" w:rsidRPr="000A4505" w:rsidTr="00DC3398">
        <w:trPr>
          <w:trHeight w:val="525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Total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F17726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puţin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dezvoltate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6.343,36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1.457,57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1.457,57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7.800,93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81,31542072698%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5.955,24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1.373,94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388,13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6,12%</w:t>
            </w:r>
          </w:p>
        </w:tc>
      </w:tr>
      <w:tr w:rsidR="00A5775A" w:rsidRPr="000A4505" w:rsidTr="00DC3398">
        <w:trPr>
          <w:trHeight w:val="465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B224CC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Regiuni mai dezvoltate – Regiunea </w:t>
            </w:r>
            <w:r w:rsidR="00292D3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Bucureşti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 xml:space="preserve"> Ilfov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356,64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92,46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449,10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79,41179462848%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334,66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21,98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6,16%</w:t>
            </w:r>
          </w:p>
        </w:tc>
      </w:tr>
      <w:tr w:rsidR="00A5775A" w:rsidRPr="000A4505" w:rsidTr="00DC3398">
        <w:trPr>
          <w:trHeight w:val="465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Total general POR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FEDR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1.550,03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1.550,03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8.250,03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81,21179468164%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6.289,90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1.461,00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410,10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775A" w:rsidRPr="000A4505" w:rsidRDefault="00A5775A" w:rsidP="000A4505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0A4505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o-RO"/>
              </w:rPr>
              <w:t>6,12%</w:t>
            </w:r>
          </w:p>
        </w:tc>
      </w:tr>
    </w:tbl>
    <w:p w:rsidR="000A4505" w:rsidRDefault="000A4505" w:rsidP="00627B95">
      <w:pPr>
        <w:spacing w:before="0" w:after="0"/>
        <w:jc w:val="both"/>
        <w:rPr>
          <w:b/>
        </w:rPr>
      </w:pPr>
    </w:p>
    <w:p w:rsidR="00EB7495" w:rsidRDefault="00EB7495" w:rsidP="00627B95">
      <w:pPr>
        <w:spacing w:before="0" w:after="0"/>
        <w:jc w:val="both"/>
        <w:rPr>
          <w:b/>
        </w:rPr>
      </w:pPr>
    </w:p>
    <w:p w:rsidR="00EB7495" w:rsidRDefault="00EB7495" w:rsidP="00627B95">
      <w:pPr>
        <w:spacing w:before="0" w:after="0"/>
        <w:jc w:val="both"/>
        <w:rPr>
          <w:b/>
        </w:rPr>
      </w:pPr>
    </w:p>
    <w:p w:rsidR="003537AA" w:rsidRDefault="003537AA" w:rsidP="00627B95">
      <w:pPr>
        <w:spacing w:before="0" w:after="0"/>
        <w:jc w:val="both"/>
        <w:rPr>
          <w:b/>
        </w:rPr>
      </w:pPr>
    </w:p>
    <w:p w:rsidR="00237894" w:rsidRPr="0080473D" w:rsidRDefault="00237894" w:rsidP="00237894">
      <w:pPr>
        <w:spacing w:before="0" w:after="0"/>
        <w:ind w:left="792"/>
        <w:jc w:val="both"/>
        <w:rPr>
          <w:b/>
        </w:rPr>
      </w:pPr>
    </w:p>
    <w:tbl>
      <w:tblPr>
        <w:tblW w:w="14425" w:type="dxa"/>
        <w:tblBorders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3683"/>
      </w:tblGrid>
      <w:tr w:rsidR="00237894" w:rsidRPr="0080473D" w:rsidTr="00237894">
        <w:tc>
          <w:tcPr>
            <w:tcW w:w="742" w:type="dxa"/>
            <w:vAlign w:val="center"/>
          </w:tcPr>
          <w:p w:rsidR="00237894" w:rsidRPr="0080473D" w:rsidRDefault="00237894" w:rsidP="001F5FBD">
            <w:pPr>
              <w:spacing w:before="0" w:after="0"/>
              <w:jc w:val="both"/>
            </w:pPr>
            <w:r>
              <w:rPr>
                <w:noProof/>
                <w:lang w:eastAsia="ro-RO"/>
              </w:rPr>
              <w:drawing>
                <wp:inline distT="0" distB="0" distL="0" distR="0" wp14:anchorId="1B48097D" wp14:editId="35A0B935">
                  <wp:extent cx="266700" cy="257175"/>
                  <wp:effectExtent l="0" t="0" r="0" b="9525"/>
                  <wp:docPr id="1" name="Picture 1" descr="Regio-Compatibility-CommPr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-Compatibility-CommPr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77" t="9352" r="17873" b="49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3" w:type="dxa"/>
            <w:vAlign w:val="center"/>
          </w:tcPr>
          <w:p w:rsidR="00060CEE" w:rsidRPr="00736EC4" w:rsidRDefault="00237894" w:rsidP="00060CEE">
            <w:pPr>
              <w:spacing w:before="0" w:after="0"/>
              <w:jc w:val="both"/>
            </w:pPr>
            <w:r w:rsidRPr="0080473D">
              <w:t xml:space="preserve">Rezerva de performanță reprezintă </w:t>
            </w:r>
            <w:r>
              <w:t xml:space="preserve">aproximativ </w:t>
            </w:r>
            <w:r w:rsidRPr="0080473D">
              <w:t>6% din alocarea POR 2014-2020</w:t>
            </w:r>
            <w:r w:rsidR="00292D3D">
              <w:t>;</w:t>
            </w:r>
            <w:r w:rsidRPr="0080473D">
              <w:t xml:space="preserve"> se va utiliza începând cu 20</w:t>
            </w:r>
            <w:r>
              <w:t>20,</w:t>
            </w:r>
            <w:r w:rsidRPr="0080473D">
              <w:t xml:space="preserve"> în funcție de rezultatele evaluării Comisiei Europene asupra performanțelor înregistrate în implementarea programului. </w:t>
            </w:r>
            <w:r w:rsidR="00060CEE">
              <w:t xml:space="preserve">Astfel, </w:t>
            </w:r>
            <w:r w:rsidR="00060CEE" w:rsidRPr="00060CEE">
              <w:t>Comisia European</w:t>
            </w:r>
            <w:r w:rsidR="00292D3D">
              <w:t>ă</w:t>
            </w:r>
            <w:r w:rsidR="00060CEE" w:rsidRPr="00060CEE">
              <w:t>, în cooperare cu statele membre, examinează performanțele programelor în fiecare stat membru în 2019, făcându-se trimitere la cadrul de performanță stabilit în programele respective.</w:t>
            </w:r>
            <w:r w:rsidR="00060CEE" w:rsidRPr="00736EC4">
              <w:t xml:space="preserve"> Examinarea se referă la îndeplinirea obiectivelor de etapă ale programelor la nivelul priorităților, pe baza informațiilor și evaluărilor prezentate în raportul anual de implementare prezentat de statele membre în 2019.</w:t>
            </w:r>
            <w:r w:rsidR="00060CEE">
              <w:t xml:space="preserve"> </w:t>
            </w:r>
          </w:p>
          <w:p w:rsidR="005D35D4" w:rsidRPr="0080473D" w:rsidRDefault="00060CEE" w:rsidP="00060CEE">
            <w:pPr>
              <w:spacing w:before="0" w:after="0"/>
              <w:jc w:val="both"/>
            </w:pPr>
            <w:r w:rsidRPr="00736EC4">
              <w:t>Rezerva de performanță se alocă doar programelor și priorităților care și-au îndeplinit obiectivele de etapă.</w:t>
            </w:r>
          </w:p>
        </w:tc>
      </w:tr>
    </w:tbl>
    <w:p w:rsidR="003537AA" w:rsidRPr="00AB009C" w:rsidRDefault="003537AA" w:rsidP="00627B95">
      <w:pPr>
        <w:spacing w:before="0" w:after="0"/>
        <w:jc w:val="both"/>
        <w:rPr>
          <w:b/>
        </w:rPr>
      </w:pPr>
    </w:p>
    <w:p w:rsidR="00237894" w:rsidRDefault="00237894" w:rsidP="00627B95">
      <w:pPr>
        <w:spacing w:before="0" w:after="0"/>
        <w:jc w:val="both"/>
        <w:rPr>
          <w:b/>
          <w:sz w:val="32"/>
          <w:szCs w:val="32"/>
        </w:rPr>
      </w:pPr>
    </w:p>
    <w:p w:rsidR="005A65AD" w:rsidRDefault="005A65AD" w:rsidP="00627B95">
      <w:pPr>
        <w:spacing w:before="0" w:after="0"/>
        <w:jc w:val="both"/>
        <w:rPr>
          <w:b/>
          <w:sz w:val="32"/>
          <w:szCs w:val="32"/>
        </w:rPr>
      </w:pPr>
    </w:p>
    <w:p w:rsidR="005A65AD" w:rsidRDefault="005A65AD" w:rsidP="00627B95">
      <w:pPr>
        <w:spacing w:before="0" w:after="0"/>
        <w:jc w:val="both"/>
        <w:rPr>
          <w:b/>
          <w:sz w:val="32"/>
          <w:szCs w:val="32"/>
        </w:rPr>
      </w:pPr>
    </w:p>
    <w:p w:rsidR="00627B95" w:rsidRPr="00AB009C" w:rsidRDefault="00627B95" w:rsidP="00627B95">
      <w:pPr>
        <w:spacing w:before="0" w:after="0"/>
        <w:jc w:val="both"/>
        <w:rPr>
          <w:b/>
        </w:rPr>
      </w:pPr>
      <w:r w:rsidRPr="00AB009C">
        <w:rPr>
          <w:b/>
          <w:sz w:val="32"/>
          <w:szCs w:val="32"/>
        </w:rPr>
        <w:t xml:space="preserve">TABEL </w:t>
      </w:r>
      <w:r w:rsidR="00071018">
        <w:rPr>
          <w:b/>
          <w:sz w:val="32"/>
          <w:szCs w:val="32"/>
        </w:rPr>
        <w:t>2</w:t>
      </w:r>
      <w:r w:rsidRPr="00AB009C">
        <w:rPr>
          <w:b/>
          <w:sz w:val="32"/>
          <w:szCs w:val="32"/>
        </w:rPr>
        <w:t>:</w:t>
      </w:r>
      <w:r w:rsidRPr="00AB009C">
        <w:rPr>
          <w:b/>
        </w:rPr>
        <w:t xml:space="preserve">  Alocări financiare </w:t>
      </w:r>
      <w:r w:rsidR="003537AA">
        <w:rPr>
          <w:b/>
        </w:rPr>
        <w:t>orientative</w:t>
      </w:r>
      <w:r w:rsidRPr="00AB009C">
        <w:rPr>
          <w:b/>
        </w:rPr>
        <w:t xml:space="preserve"> pentru implementarea SUERD  </w:t>
      </w:r>
    </w:p>
    <w:p w:rsidR="003537AA" w:rsidRDefault="003537AA" w:rsidP="003537AA">
      <w:pPr>
        <w:jc w:val="center"/>
        <w:rPr>
          <w:b/>
          <w:i/>
        </w:rPr>
      </w:pPr>
    </w:p>
    <w:tbl>
      <w:tblPr>
        <w:tblW w:w="13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  <w:gridCol w:w="4033"/>
      </w:tblGrid>
      <w:tr w:rsidR="00EB7495" w:rsidRPr="00EB7495" w:rsidTr="00EB7495">
        <w:trPr>
          <w:trHeight w:val="83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537AA" w:rsidRPr="00EB7495" w:rsidRDefault="003537AA" w:rsidP="00EB7495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EB7495">
              <w:rPr>
                <w:b/>
                <w:bCs/>
                <w:color w:val="FF0000"/>
              </w:rPr>
              <w:t>Axa prioritară POR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37AA" w:rsidRPr="00EB7495" w:rsidRDefault="003537AA" w:rsidP="00EB7495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EB7495">
              <w:rPr>
                <w:b/>
                <w:bCs/>
                <w:color w:val="FF0000"/>
              </w:rPr>
              <w:t>Contribuție SUERD în cadrul axelor prioritare (mil</w:t>
            </w:r>
            <w:r w:rsidR="00DC3398">
              <w:rPr>
                <w:b/>
                <w:bCs/>
                <w:color w:val="FF0000"/>
              </w:rPr>
              <w:t>ioane</w:t>
            </w:r>
            <w:r w:rsidRPr="00EB7495">
              <w:rPr>
                <w:b/>
                <w:bCs/>
                <w:color w:val="FF0000"/>
              </w:rPr>
              <w:t xml:space="preserve"> euro FEDR)</w:t>
            </w:r>
          </w:p>
        </w:tc>
      </w:tr>
      <w:tr w:rsidR="003537AA" w:rsidTr="00906854">
        <w:trPr>
          <w:trHeight w:val="27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t>Axa prioritară 3  - Sprijinirea tranziției către o economie cu emisii scăzute de carbon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210,00</w:t>
            </w:r>
          </w:p>
        </w:tc>
      </w:tr>
      <w:tr w:rsidR="003537AA" w:rsidTr="00906854">
        <w:trPr>
          <w:trHeight w:val="386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t>Axa prioritar</w:t>
            </w:r>
            <w:r w:rsidR="00292D3D">
              <w:t>ă</w:t>
            </w:r>
            <w:r>
              <w:t xml:space="preserve"> 5  - </w:t>
            </w:r>
            <w:r w:rsidR="00DC3398">
              <w:rPr>
                <w:lang w:val="en-US"/>
              </w:rPr>
              <w:t>Îmbun</w:t>
            </w:r>
            <w:r w:rsidR="00DC3398">
              <w:t>ă</w:t>
            </w:r>
            <w:r w:rsidR="00292D3D">
              <w:t>tă</w:t>
            </w:r>
            <w:r w:rsidR="00DC3398">
              <w:t>țirea mediului urban și conservarea, protecția și valorificarea durabilă a patrimoniului cultural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14,85</w:t>
            </w:r>
          </w:p>
        </w:tc>
      </w:tr>
      <w:tr w:rsidR="003537AA" w:rsidTr="00906854">
        <w:trPr>
          <w:trHeight w:val="43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t>Axa prioritară 6  -  Îmbunătățirea infrastructurii rutiere de importanță regională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171,77</w:t>
            </w:r>
          </w:p>
        </w:tc>
      </w:tr>
      <w:tr w:rsidR="003537AA" w:rsidTr="00906854">
        <w:trPr>
          <w:trHeight w:val="53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Axa prioritară 7: Diversificarea economiilor locale prin dezvoltarea durabilă a turismului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10,75</w:t>
            </w:r>
          </w:p>
        </w:tc>
      </w:tr>
      <w:tr w:rsidR="003537AA" w:rsidTr="00906854">
        <w:trPr>
          <w:trHeight w:val="220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 w:rsidP="003537AA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 xml:space="preserve">Total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407,37</w:t>
            </w:r>
          </w:p>
        </w:tc>
      </w:tr>
    </w:tbl>
    <w:p w:rsidR="00627B95" w:rsidRDefault="00627B95" w:rsidP="00627B95">
      <w:pPr>
        <w:spacing w:before="0" w:after="0"/>
        <w:ind w:left="360"/>
        <w:jc w:val="both"/>
      </w:pPr>
    </w:p>
    <w:p w:rsidR="005A65AD" w:rsidRDefault="005A65AD">
      <w:pPr>
        <w:spacing w:before="0" w:after="0"/>
      </w:pPr>
      <w:r>
        <w:br w:type="page"/>
      </w:r>
    </w:p>
    <w:p w:rsidR="00627B95" w:rsidRPr="00AB009C" w:rsidRDefault="00627B95" w:rsidP="00627B95">
      <w:pPr>
        <w:spacing w:before="0" w:after="0"/>
        <w:ind w:left="360"/>
        <w:jc w:val="both"/>
      </w:pPr>
    </w:p>
    <w:p w:rsidR="00627B95" w:rsidRPr="00AB009C" w:rsidRDefault="00627B95" w:rsidP="00627B95">
      <w:pPr>
        <w:spacing w:before="0" w:after="0"/>
        <w:jc w:val="both"/>
        <w:rPr>
          <w:b/>
        </w:rPr>
      </w:pPr>
      <w:r w:rsidRPr="00AB009C">
        <w:rPr>
          <w:b/>
          <w:sz w:val="32"/>
          <w:szCs w:val="32"/>
        </w:rPr>
        <w:t xml:space="preserve">TABEL </w:t>
      </w:r>
      <w:r w:rsidR="00071018">
        <w:rPr>
          <w:b/>
          <w:sz w:val="32"/>
          <w:szCs w:val="32"/>
        </w:rPr>
        <w:t>3</w:t>
      </w:r>
      <w:r w:rsidRPr="00AB009C">
        <w:rPr>
          <w:b/>
          <w:sz w:val="32"/>
          <w:szCs w:val="32"/>
        </w:rPr>
        <w:t>:</w:t>
      </w:r>
      <w:r w:rsidRPr="00AB009C">
        <w:rPr>
          <w:b/>
        </w:rPr>
        <w:t xml:space="preserve">  Alocări financiare </w:t>
      </w:r>
      <w:r w:rsidR="003537AA">
        <w:rPr>
          <w:b/>
        </w:rPr>
        <w:t>orientative</w:t>
      </w:r>
      <w:r w:rsidRPr="00AB009C">
        <w:rPr>
          <w:b/>
        </w:rPr>
        <w:t xml:space="preserve"> pentru implementarea ITI Delta Dunării</w:t>
      </w:r>
    </w:p>
    <w:p w:rsidR="00627B95" w:rsidRPr="00AB009C" w:rsidRDefault="00627B95" w:rsidP="00627B95">
      <w:pPr>
        <w:spacing w:before="0" w:after="0"/>
        <w:ind w:left="360"/>
        <w:jc w:val="both"/>
      </w:pPr>
    </w:p>
    <w:p w:rsidR="00627B95" w:rsidRPr="00AB009C" w:rsidRDefault="00627B95" w:rsidP="00627B95">
      <w:pPr>
        <w:spacing w:before="0" w:after="0"/>
        <w:ind w:left="360"/>
        <w:jc w:val="both"/>
      </w:pPr>
    </w:p>
    <w:tbl>
      <w:tblPr>
        <w:tblW w:w="49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4203"/>
      </w:tblGrid>
      <w:tr w:rsidR="00EB7495" w:rsidRPr="00EB7495" w:rsidTr="00EB7495">
        <w:trPr>
          <w:trHeight w:val="85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37AA" w:rsidRPr="00EB7495" w:rsidRDefault="003537AA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EB7495">
              <w:rPr>
                <w:b/>
                <w:color w:val="FF0000"/>
              </w:rPr>
              <w:t>Axa prioritară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37AA" w:rsidRPr="00EB7495" w:rsidRDefault="003537AA" w:rsidP="00EB7495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EB7495">
              <w:rPr>
                <w:b/>
                <w:color w:val="FF0000"/>
              </w:rPr>
              <w:t>Alocarea financiară indicativă (sprijinul din partea Uniunii - FEDR) (</w:t>
            </w:r>
            <w:r w:rsidR="00EB7495" w:rsidRPr="00EB7495">
              <w:rPr>
                <w:b/>
                <w:color w:val="FF0000"/>
              </w:rPr>
              <w:t>milioane euro</w:t>
            </w:r>
            <w:r w:rsidRPr="00EB7495">
              <w:rPr>
                <w:b/>
                <w:color w:val="FF0000"/>
              </w:rPr>
              <w:t>)</w:t>
            </w:r>
          </w:p>
        </w:tc>
      </w:tr>
      <w:tr w:rsidR="003537AA" w:rsidTr="00EB7495">
        <w:trPr>
          <w:trHeight w:val="8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2. Sprijinirea competitivității mediului de afaceri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EB7495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63,</w:t>
            </w:r>
            <w:r w:rsidR="003537AA">
              <w:t>8</w:t>
            </w:r>
            <w:r>
              <w:t>3</w:t>
            </w:r>
          </w:p>
        </w:tc>
      </w:tr>
      <w:tr w:rsidR="003537AA" w:rsidTr="00EB7495">
        <w:trPr>
          <w:trHeight w:val="8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3. Sprijinirea  tranziției către o economie cu emisii scăzute de  carbon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465241" w:rsidP="00465241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116</w:t>
            </w:r>
            <w:r w:rsidR="00EB7495">
              <w:t>,</w:t>
            </w:r>
            <w:r>
              <w:t>27</w:t>
            </w:r>
          </w:p>
        </w:tc>
      </w:tr>
      <w:tr w:rsidR="003537AA" w:rsidTr="00EB7495">
        <w:trPr>
          <w:trHeight w:val="36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Pr="00DC3398" w:rsidRDefault="003537AA" w:rsidP="00DC3398">
            <w:pPr>
              <w:spacing w:after="200" w:line="276" w:lineRule="auto"/>
              <w:rPr>
                <w:sz w:val="22"/>
                <w:szCs w:val="22"/>
              </w:rPr>
            </w:pPr>
            <w:r>
              <w:t xml:space="preserve">5. </w:t>
            </w:r>
            <w:r w:rsidR="00DC3398">
              <w:rPr>
                <w:lang w:val="en-US"/>
              </w:rPr>
              <w:t>Îmbun</w:t>
            </w:r>
            <w:r w:rsidR="00DC3398">
              <w:t>ă</w:t>
            </w:r>
            <w:r w:rsidR="00292D3D">
              <w:t>tă</w:t>
            </w:r>
            <w:r w:rsidR="00DC3398">
              <w:t>țirea mediului urban și conservarea, protecția și valorificarea durabilă a patrimoniului cultural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465241" w:rsidP="00465241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44</w:t>
            </w:r>
            <w:r w:rsidR="00EB7495">
              <w:t>,</w:t>
            </w:r>
            <w:r>
              <w:t>88</w:t>
            </w:r>
          </w:p>
        </w:tc>
      </w:tr>
      <w:tr w:rsidR="003537AA" w:rsidTr="00EB7495">
        <w:trPr>
          <w:trHeight w:val="2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6. Îmbunătățirea infrastructurii rutiere de importanță regională și locală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74</w:t>
            </w:r>
            <w:r w:rsidR="00EB7495">
              <w:t>,</w:t>
            </w:r>
            <w:r>
              <w:t>74</w:t>
            </w:r>
          </w:p>
        </w:tc>
      </w:tr>
      <w:tr w:rsidR="003537AA" w:rsidTr="00EB7495">
        <w:trPr>
          <w:trHeight w:val="2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7. Diversificarea economiilor locale prin dezvoltarea durabilă a turismului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EB7495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5,</w:t>
            </w:r>
            <w:r w:rsidR="003537AA">
              <w:t>19</w:t>
            </w:r>
          </w:p>
        </w:tc>
      </w:tr>
      <w:tr w:rsidR="003537AA" w:rsidTr="00EB7495">
        <w:trPr>
          <w:trHeight w:val="2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8. Dezvoltarea infrastructurii de sănătate și sociale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21</w:t>
            </w:r>
            <w:r w:rsidR="00EB7495">
              <w:t>,</w:t>
            </w:r>
            <w:r>
              <w:t>2</w:t>
            </w:r>
            <w:r w:rsidR="00EB7495">
              <w:t>8</w:t>
            </w:r>
          </w:p>
        </w:tc>
      </w:tr>
      <w:tr w:rsidR="003537AA" w:rsidTr="00EB7495">
        <w:trPr>
          <w:trHeight w:val="24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10. Îmbunătățirea infrastructurii educaționale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EB7495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31,</w:t>
            </w:r>
            <w:r w:rsidR="003537AA">
              <w:t>91</w:t>
            </w:r>
          </w:p>
        </w:tc>
      </w:tr>
      <w:tr w:rsidR="003537AA" w:rsidTr="00EB7495">
        <w:trPr>
          <w:trHeight w:val="1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>
            <w:pPr>
              <w:spacing w:after="200" w:line="276" w:lineRule="auto"/>
              <w:rPr>
                <w:sz w:val="22"/>
                <w:szCs w:val="22"/>
              </w:rPr>
            </w:pPr>
            <w:r>
              <w:t>Total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AA" w:rsidRDefault="003537AA" w:rsidP="00EB7495">
            <w:pPr>
              <w:tabs>
                <w:tab w:val="left" w:pos="3237"/>
              </w:tabs>
              <w:suppressAutoHyphens/>
              <w:spacing w:after="0"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t>358</w:t>
            </w:r>
            <w:r w:rsidR="00EB7495">
              <w:t>,</w:t>
            </w:r>
            <w:r>
              <w:t>1</w:t>
            </w:r>
            <w:r w:rsidR="00EB7495">
              <w:t>1</w:t>
            </w:r>
          </w:p>
        </w:tc>
      </w:tr>
    </w:tbl>
    <w:p w:rsidR="003537AA" w:rsidRDefault="003537AA" w:rsidP="003537AA">
      <w:pPr>
        <w:rPr>
          <w:rFonts w:ascii="Calibri" w:hAnsi="Calibri"/>
          <w:sz w:val="22"/>
          <w:szCs w:val="22"/>
        </w:rPr>
      </w:pPr>
    </w:p>
    <w:p w:rsidR="00627B95" w:rsidRPr="00AB009C" w:rsidRDefault="00627B95" w:rsidP="001D3305">
      <w:pPr>
        <w:spacing w:before="0" w:after="0"/>
        <w:jc w:val="both"/>
        <w:rPr>
          <w:b/>
        </w:rPr>
      </w:pPr>
    </w:p>
    <w:sectPr w:rsidR="00627B95" w:rsidRPr="00AB009C" w:rsidSect="00906854">
      <w:headerReference w:type="default" r:id="rId12"/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4B" w:rsidRDefault="00DF744B" w:rsidP="001D3305">
      <w:pPr>
        <w:spacing w:before="0" w:after="0"/>
      </w:pPr>
      <w:r>
        <w:separator/>
      </w:r>
    </w:p>
  </w:endnote>
  <w:endnote w:type="continuationSeparator" w:id="0">
    <w:p w:rsidR="00DF744B" w:rsidRDefault="00DF744B" w:rsidP="001D3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4B" w:rsidRDefault="00DF744B" w:rsidP="001D3305">
      <w:pPr>
        <w:spacing w:before="0" w:after="0"/>
      </w:pPr>
      <w:r>
        <w:separator/>
      </w:r>
    </w:p>
  </w:footnote>
  <w:footnote w:type="continuationSeparator" w:id="0">
    <w:p w:rsidR="00DF744B" w:rsidRDefault="00DF744B" w:rsidP="001D33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A" w:rsidRDefault="003537AA">
    <w:pPr>
      <w:pStyle w:val="Header"/>
    </w:pPr>
  </w:p>
  <w:tbl>
    <w:tblPr>
      <w:tblW w:w="8820" w:type="dxa"/>
      <w:tblInd w:w="108" w:type="dxa"/>
      <w:tblBorders>
        <w:insideH w:val="single" w:sz="4" w:space="0" w:color="808080"/>
      </w:tblBorders>
      <w:tblLook w:val="0000" w:firstRow="0" w:lastRow="0" w:firstColumn="0" w:lastColumn="0" w:noHBand="0" w:noVBand="0"/>
    </w:tblPr>
    <w:tblGrid>
      <w:gridCol w:w="7560"/>
      <w:gridCol w:w="1260"/>
    </w:tblGrid>
    <w:tr w:rsidR="003537AA" w:rsidTr="003537AA">
      <w:tc>
        <w:tcPr>
          <w:tcW w:w="7560" w:type="dxa"/>
        </w:tcPr>
        <w:p w:rsidR="003537AA" w:rsidRPr="001F2E80" w:rsidRDefault="003537AA" w:rsidP="003537AA">
          <w:pPr>
            <w:spacing w:before="0" w:after="0"/>
            <w:rPr>
              <w:color w:val="808080"/>
              <w:sz w:val="14"/>
            </w:rPr>
          </w:pPr>
          <w:r>
            <w:rPr>
              <w:color w:val="808080"/>
              <w:sz w:val="14"/>
            </w:rPr>
            <w:t>Programul Operaţional Regional 2014-2020</w:t>
          </w:r>
        </w:p>
      </w:tc>
      <w:tc>
        <w:tcPr>
          <w:tcW w:w="1260" w:type="dxa"/>
        </w:tcPr>
        <w:p w:rsidR="003537AA" w:rsidRDefault="00F80377" w:rsidP="003537AA">
          <w:pPr>
            <w:spacing w:before="0" w:after="0"/>
            <w:jc w:val="right"/>
            <w:rPr>
              <w:color w:val="808080"/>
              <w:sz w:val="14"/>
            </w:rPr>
          </w:pPr>
          <w:r>
            <w:rPr>
              <w:color w:val="808080"/>
              <w:sz w:val="14"/>
            </w:rPr>
            <w:t>Noiembrie 2015</w:t>
          </w:r>
        </w:p>
      </w:tc>
    </w:tr>
    <w:tr w:rsidR="003537AA" w:rsidTr="003537AA">
      <w:trPr>
        <w:cantSplit/>
      </w:trPr>
      <w:tc>
        <w:tcPr>
          <w:tcW w:w="8820" w:type="dxa"/>
          <w:gridSpan w:val="2"/>
        </w:tcPr>
        <w:p w:rsidR="003537AA" w:rsidRDefault="003537AA" w:rsidP="003537AA">
          <w:pPr>
            <w:spacing w:before="0" w:after="0"/>
            <w:jc w:val="right"/>
            <w:rPr>
              <w:b/>
              <w:bCs/>
              <w:color w:val="808080"/>
              <w:sz w:val="14"/>
            </w:rPr>
          </w:pPr>
          <w:r>
            <w:rPr>
              <w:b/>
              <w:bCs/>
              <w:color w:val="808080"/>
              <w:sz w:val="14"/>
            </w:rPr>
            <w:t>Ghidul Solicitantului</w:t>
          </w:r>
        </w:p>
      </w:tc>
    </w:tr>
  </w:tbl>
  <w:p w:rsidR="003537AA" w:rsidRDefault="003537AA" w:rsidP="001D3305">
    <w:pPr>
      <w:spacing w:before="0" w:after="0"/>
      <w:jc w:val="right"/>
      <w:rPr>
        <w:b/>
        <w:bCs/>
        <w:color w:val="808080"/>
        <w:sz w:val="14"/>
      </w:rPr>
    </w:pPr>
    <w:r w:rsidRPr="001F2E80">
      <w:rPr>
        <w:b/>
        <w:bCs/>
        <w:color w:val="808080"/>
        <w:sz w:val="14"/>
      </w:rPr>
      <w:t xml:space="preserve">Condiții </w:t>
    </w:r>
    <w:r>
      <w:rPr>
        <w:b/>
        <w:bCs/>
        <w:color w:val="808080"/>
        <w:sz w:val="14"/>
      </w:rPr>
      <w:t xml:space="preserve">generale </w:t>
    </w:r>
    <w:r w:rsidRPr="001F2E80">
      <w:rPr>
        <w:b/>
        <w:bCs/>
        <w:color w:val="808080"/>
        <w:sz w:val="14"/>
      </w:rPr>
      <w:t>de accesare a fondurilor</w:t>
    </w:r>
  </w:p>
  <w:p w:rsidR="003537AA" w:rsidRDefault="003537AA" w:rsidP="001D3305">
    <w:pPr>
      <w:spacing w:before="0" w:after="0"/>
      <w:jc w:val="right"/>
      <w:rPr>
        <w:sz w:val="16"/>
      </w:rPr>
    </w:pPr>
    <w:r>
      <w:rPr>
        <w:b/>
        <w:bCs/>
        <w:color w:val="808080"/>
        <w:sz w:val="14"/>
      </w:rPr>
      <w:t xml:space="preserve">ANEXA </w:t>
    </w:r>
    <w:r w:rsidR="00EB7495">
      <w:rPr>
        <w:b/>
        <w:bCs/>
        <w:color w:val="808080"/>
        <w:sz w:val="14"/>
      </w:rPr>
      <w:t>10</w:t>
    </w:r>
    <w:r>
      <w:rPr>
        <w:b/>
        <w:bCs/>
        <w:color w:val="808080"/>
        <w:sz w:val="14"/>
      </w:rPr>
      <w:t>.2</w:t>
    </w:r>
  </w:p>
  <w:p w:rsidR="003537AA" w:rsidRDefault="00353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B6C"/>
    <w:multiLevelType w:val="hybridMultilevel"/>
    <w:tmpl w:val="A716A7E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0F05EC0"/>
    <w:multiLevelType w:val="hybridMultilevel"/>
    <w:tmpl w:val="66728800"/>
    <w:lvl w:ilvl="0" w:tplc="B8AAD790">
      <w:start w:val="4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B62B6"/>
    <w:multiLevelType w:val="multilevel"/>
    <w:tmpl w:val="CB40FFB4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C1644A"/>
    <w:multiLevelType w:val="hybridMultilevel"/>
    <w:tmpl w:val="6908B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A3C4E"/>
    <w:multiLevelType w:val="multilevel"/>
    <w:tmpl w:val="4DCE67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7E403AF6"/>
    <w:multiLevelType w:val="hybridMultilevel"/>
    <w:tmpl w:val="814A7B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usor Sanda">
    <w15:presenceInfo w15:providerId="AD" w15:userId="S-1-5-21-2784544311-199262477-2526794783-16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05"/>
    <w:rsid w:val="00007808"/>
    <w:rsid w:val="00024476"/>
    <w:rsid w:val="00060CEE"/>
    <w:rsid w:val="00071018"/>
    <w:rsid w:val="000A4290"/>
    <w:rsid w:val="000A4505"/>
    <w:rsid w:val="000D7DCC"/>
    <w:rsid w:val="001232F7"/>
    <w:rsid w:val="0013704F"/>
    <w:rsid w:val="001571E5"/>
    <w:rsid w:val="001924B8"/>
    <w:rsid w:val="001B66C3"/>
    <w:rsid w:val="001D3305"/>
    <w:rsid w:val="00237894"/>
    <w:rsid w:val="00292D3D"/>
    <w:rsid w:val="003510DF"/>
    <w:rsid w:val="003537AA"/>
    <w:rsid w:val="00425212"/>
    <w:rsid w:val="00461F4C"/>
    <w:rsid w:val="00465241"/>
    <w:rsid w:val="004844A7"/>
    <w:rsid w:val="005054B4"/>
    <w:rsid w:val="00561286"/>
    <w:rsid w:val="005A65AD"/>
    <w:rsid w:val="005C0D65"/>
    <w:rsid w:val="005D35D4"/>
    <w:rsid w:val="0061354A"/>
    <w:rsid w:val="00627B95"/>
    <w:rsid w:val="006946BC"/>
    <w:rsid w:val="006A218D"/>
    <w:rsid w:val="006A477F"/>
    <w:rsid w:val="006B1A5C"/>
    <w:rsid w:val="006F799B"/>
    <w:rsid w:val="00736EC4"/>
    <w:rsid w:val="007B4ED9"/>
    <w:rsid w:val="00861922"/>
    <w:rsid w:val="008A0002"/>
    <w:rsid w:val="008A4E26"/>
    <w:rsid w:val="008E1683"/>
    <w:rsid w:val="008F6FBD"/>
    <w:rsid w:val="008F7DDB"/>
    <w:rsid w:val="00906854"/>
    <w:rsid w:val="00921699"/>
    <w:rsid w:val="00986A35"/>
    <w:rsid w:val="009C35EC"/>
    <w:rsid w:val="00A0226A"/>
    <w:rsid w:val="00A41956"/>
    <w:rsid w:val="00A5775A"/>
    <w:rsid w:val="00AB4EA2"/>
    <w:rsid w:val="00B224CC"/>
    <w:rsid w:val="00B5239D"/>
    <w:rsid w:val="00BE54D1"/>
    <w:rsid w:val="00BF6C37"/>
    <w:rsid w:val="00BF7099"/>
    <w:rsid w:val="00C13E54"/>
    <w:rsid w:val="00C14C12"/>
    <w:rsid w:val="00DB548D"/>
    <w:rsid w:val="00DC3398"/>
    <w:rsid w:val="00DF744B"/>
    <w:rsid w:val="00E16471"/>
    <w:rsid w:val="00EB7495"/>
    <w:rsid w:val="00F03405"/>
    <w:rsid w:val="00F17726"/>
    <w:rsid w:val="00F770DE"/>
    <w:rsid w:val="00F8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05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styleId="CommentReference">
    <w:name w:val="annotation reference"/>
    <w:semiHidden/>
    <w:rsid w:val="001D3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30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3305"/>
    <w:rPr>
      <w:rFonts w:ascii="Trebuchet MS" w:hAnsi="Trebuchet MS"/>
      <w:lang w:eastAsia="en-US"/>
    </w:rPr>
  </w:style>
  <w:style w:type="paragraph" w:styleId="ListNumber2">
    <w:name w:val="List Number 2"/>
    <w:basedOn w:val="Normal"/>
    <w:rsid w:val="001D3305"/>
    <w:pPr>
      <w:numPr>
        <w:numId w:val="4"/>
      </w:numPr>
      <w:jc w:val="both"/>
    </w:pPr>
    <w:rPr>
      <w:rFonts w:cs="Arial"/>
      <w:sz w:val="22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0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330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3305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30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3305"/>
    <w:rPr>
      <w:rFonts w:ascii="Trebuchet MS" w:hAnsi="Trebuchet MS"/>
      <w:szCs w:val="24"/>
      <w:lang w:eastAsia="en-US"/>
    </w:rPr>
  </w:style>
  <w:style w:type="character" w:customStyle="1" w:styleId="hps">
    <w:name w:val="hps"/>
    <w:rsid w:val="00627B95"/>
  </w:style>
  <w:style w:type="paragraph" w:customStyle="1" w:styleId="Normal1">
    <w:name w:val="Normal1"/>
    <w:basedOn w:val="Normal"/>
    <w:rsid w:val="00F770DE"/>
    <w:pPr>
      <w:spacing w:before="60" w:after="60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0DE"/>
    <w:rPr>
      <w:rFonts w:ascii="Trebuchet MS" w:hAnsi="Trebuchet MS"/>
      <w:b/>
      <w:bCs/>
      <w:lang w:eastAsia="en-US"/>
    </w:rPr>
  </w:style>
  <w:style w:type="character" w:styleId="Hyperlink">
    <w:name w:val="Hyperlink"/>
    <w:uiPriority w:val="99"/>
    <w:rsid w:val="006A218D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060CEE"/>
    <w:pPr>
      <w:autoSpaceDE w:val="0"/>
      <w:autoSpaceDN w:val="0"/>
      <w:adjustRightInd w:val="0"/>
      <w:spacing w:before="0" w:after="0"/>
    </w:pPr>
    <w:rPr>
      <w:rFonts w:ascii="EUAlbertina" w:hAnsi="EUAlbertina"/>
      <w:sz w:val="24"/>
      <w:lang w:eastAsia="ro-RO"/>
    </w:rPr>
  </w:style>
  <w:style w:type="paragraph" w:customStyle="1" w:styleId="CM3">
    <w:name w:val="CM3"/>
    <w:basedOn w:val="Normal"/>
    <w:next w:val="Normal"/>
    <w:uiPriority w:val="99"/>
    <w:rsid w:val="00060CEE"/>
    <w:pPr>
      <w:autoSpaceDE w:val="0"/>
      <w:autoSpaceDN w:val="0"/>
      <w:adjustRightInd w:val="0"/>
      <w:spacing w:before="0" w:after="0"/>
    </w:pPr>
    <w:rPr>
      <w:rFonts w:ascii="EUAlbertina" w:hAnsi="EUAlbertina"/>
      <w:sz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05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character" w:styleId="CommentReference">
    <w:name w:val="annotation reference"/>
    <w:semiHidden/>
    <w:rsid w:val="001D3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30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3305"/>
    <w:rPr>
      <w:rFonts w:ascii="Trebuchet MS" w:hAnsi="Trebuchet MS"/>
      <w:lang w:eastAsia="en-US"/>
    </w:rPr>
  </w:style>
  <w:style w:type="paragraph" w:styleId="ListNumber2">
    <w:name w:val="List Number 2"/>
    <w:basedOn w:val="Normal"/>
    <w:rsid w:val="001D3305"/>
    <w:pPr>
      <w:numPr>
        <w:numId w:val="4"/>
      </w:numPr>
      <w:jc w:val="both"/>
    </w:pPr>
    <w:rPr>
      <w:rFonts w:cs="Arial"/>
      <w:sz w:val="22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0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3305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D3305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30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D3305"/>
    <w:rPr>
      <w:rFonts w:ascii="Trebuchet MS" w:hAnsi="Trebuchet MS"/>
      <w:szCs w:val="24"/>
      <w:lang w:eastAsia="en-US"/>
    </w:rPr>
  </w:style>
  <w:style w:type="character" w:customStyle="1" w:styleId="hps">
    <w:name w:val="hps"/>
    <w:rsid w:val="00627B95"/>
  </w:style>
  <w:style w:type="paragraph" w:customStyle="1" w:styleId="Normal1">
    <w:name w:val="Normal1"/>
    <w:basedOn w:val="Normal"/>
    <w:rsid w:val="00F770DE"/>
    <w:pPr>
      <w:spacing w:before="60" w:after="60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0DE"/>
    <w:rPr>
      <w:rFonts w:ascii="Trebuchet MS" w:hAnsi="Trebuchet MS"/>
      <w:b/>
      <w:bCs/>
      <w:lang w:eastAsia="en-US"/>
    </w:rPr>
  </w:style>
  <w:style w:type="character" w:styleId="Hyperlink">
    <w:name w:val="Hyperlink"/>
    <w:uiPriority w:val="99"/>
    <w:rsid w:val="006A218D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060CEE"/>
    <w:pPr>
      <w:autoSpaceDE w:val="0"/>
      <w:autoSpaceDN w:val="0"/>
      <w:adjustRightInd w:val="0"/>
      <w:spacing w:before="0" w:after="0"/>
    </w:pPr>
    <w:rPr>
      <w:rFonts w:ascii="EUAlbertina" w:hAnsi="EUAlbertina"/>
      <w:sz w:val="24"/>
      <w:lang w:eastAsia="ro-RO"/>
    </w:rPr>
  </w:style>
  <w:style w:type="paragraph" w:customStyle="1" w:styleId="CM3">
    <w:name w:val="CM3"/>
    <w:basedOn w:val="Normal"/>
    <w:next w:val="Normal"/>
    <w:uiPriority w:val="99"/>
    <w:rsid w:val="00060CEE"/>
    <w:pPr>
      <w:autoSpaceDE w:val="0"/>
      <w:autoSpaceDN w:val="0"/>
      <w:adjustRightInd w:val="0"/>
      <w:spacing w:before="0" w:after="0"/>
    </w:pPr>
    <w:rPr>
      <w:rFonts w:ascii="EUAlbertina" w:hAnsi="EUAlbertina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eur-lex.europa.eu/legal-content/RO/TXT/HTML/?uri=CELEX:32014R0288&amp;from=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gal-content/RO/TXT/HTML/?uri=CELEX:32014R0288&amp;from=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F24B-1635-45DD-A2E8-C61A865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938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Alina BOUROSU</cp:lastModifiedBy>
  <cp:revision>34</cp:revision>
  <cp:lastPrinted>2015-09-21T10:29:00Z</cp:lastPrinted>
  <dcterms:created xsi:type="dcterms:W3CDTF">2014-10-13T09:02:00Z</dcterms:created>
  <dcterms:modified xsi:type="dcterms:W3CDTF">2015-11-04T12:49:00Z</dcterms:modified>
</cp:coreProperties>
</file>