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2FCC3" w14:textId="77777777" w:rsidR="00EC3D5B" w:rsidRPr="00DD681E" w:rsidRDefault="00A616C8" w:rsidP="002849B3">
      <w:pPr>
        <w:pStyle w:val="Heading2"/>
        <w:numPr>
          <w:ilvl w:val="0"/>
          <w:numId w:val="0"/>
        </w:numPr>
        <w:spacing w:before="0" w:after="0"/>
        <w:ind w:left="1656"/>
        <w:jc w:val="both"/>
      </w:pPr>
      <w:bookmarkStart w:id="0" w:name="_GoBack"/>
      <w:bookmarkEnd w:id="0"/>
      <w:r w:rsidRPr="00DD681E">
        <w:t xml:space="preserve">ANEXA </w:t>
      </w:r>
      <w:r w:rsidR="00F702C1" w:rsidRPr="00DD681E">
        <w:t>10</w:t>
      </w:r>
      <w:r w:rsidRPr="00DD681E">
        <w:t>.</w:t>
      </w:r>
      <w:r w:rsidR="00F702C1" w:rsidRPr="00DD681E">
        <w:t>5</w:t>
      </w:r>
      <w:r w:rsidRPr="00DD681E">
        <w:t xml:space="preserve"> – Listă explicativă termeni</w:t>
      </w:r>
    </w:p>
    <w:p w14:paraId="6B078F51" w14:textId="77777777" w:rsidR="00EC3D5B" w:rsidRPr="00DD681E" w:rsidRDefault="00EC3D5B" w:rsidP="002849B3">
      <w:pPr>
        <w:spacing w:before="0" w:after="0"/>
        <w:jc w:val="both"/>
      </w:pPr>
    </w:p>
    <w:p w14:paraId="1C120566" w14:textId="77777777" w:rsidR="00EC3D5B" w:rsidRPr="00DD681E" w:rsidRDefault="00DE7318" w:rsidP="002849B3">
      <w:pPr>
        <w:spacing w:before="0" w:after="0"/>
        <w:jc w:val="both"/>
        <w:rPr>
          <w:szCs w:val="20"/>
        </w:rPr>
      </w:pPr>
      <w:r w:rsidRPr="00DD681E">
        <w:rPr>
          <w:szCs w:val="20"/>
        </w:rPr>
        <w:t>Policitica de coeziune,</w:t>
      </w:r>
      <w:r w:rsidR="002F19EA" w:rsidRPr="00DD681E">
        <w:rPr>
          <w:szCs w:val="20"/>
        </w:rPr>
        <w:t xml:space="preserve"> fonduri și instrume</w:t>
      </w:r>
      <w:r w:rsidRPr="00DD681E">
        <w:rPr>
          <w:szCs w:val="20"/>
        </w:rPr>
        <w:t>n</w:t>
      </w:r>
      <w:r w:rsidR="002F19EA" w:rsidRPr="00DD681E">
        <w:rPr>
          <w:szCs w:val="20"/>
        </w:rPr>
        <w:t>te structurale</w:t>
      </w:r>
    </w:p>
    <w:tbl>
      <w:tblPr>
        <w:tblW w:w="9195" w:type="dxa"/>
        <w:tblBorders>
          <w:top w:val="single" w:sz="4" w:space="0" w:color="333333"/>
          <w:bottom w:val="single" w:sz="4" w:space="0" w:color="333333"/>
          <w:insideH w:val="single" w:sz="4" w:space="0" w:color="333333"/>
        </w:tblBorders>
        <w:tblLayout w:type="fixed"/>
        <w:tblCellMar>
          <w:left w:w="0" w:type="dxa"/>
          <w:right w:w="0" w:type="dxa"/>
        </w:tblCellMar>
        <w:tblLook w:val="04A0" w:firstRow="1" w:lastRow="0" w:firstColumn="1" w:lastColumn="0" w:noHBand="0" w:noVBand="1"/>
      </w:tblPr>
      <w:tblGrid>
        <w:gridCol w:w="2230"/>
        <w:gridCol w:w="6965"/>
      </w:tblGrid>
      <w:tr w:rsidR="00BE3B5D" w:rsidRPr="00DD681E" w14:paraId="2E9ED000" w14:textId="77777777" w:rsidTr="00BE3B5D">
        <w:tc>
          <w:tcPr>
            <w:tcW w:w="2230" w:type="dxa"/>
            <w:tcBorders>
              <w:top w:val="single" w:sz="4" w:space="0" w:color="333333"/>
              <w:left w:val="nil"/>
              <w:bottom w:val="single" w:sz="4" w:space="0" w:color="333333"/>
              <w:right w:val="nil"/>
            </w:tcBorders>
            <w:tcMar>
              <w:top w:w="16" w:type="dxa"/>
              <w:left w:w="16" w:type="dxa"/>
              <w:bottom w:w="0" w:type="dxa"/>
              <w:right w:w="16" w:type="dxa"/>
            </w:tcMar>
          </w:tcPr>
          <w:p w14:paraId="7A65CDFA" w14:textId="77777777" w:rsidR="00BE3B5D" w:rsidRPr="00DD681E" w:rsidRDefault="00BE3B5D" w:rsidP="002849B3">
            <w:pPr>
              <w:spacing w:before="0" w:after="0"/>
              <w:jc w:val="both"/>
              <w:rPr>
                <w:rFonts w:cs="EUAlbertina"/>
                <w:color w:val="000000"/>
                <w:szCs w:val="20"/>
              </w:rPr>
            </w:pPr>
            <w:r w:rsidRPr="00DD681E">
              <w:rPr>
                <w:rFonts w:cs="EUAlbertina"/>
                <w:color w:val="000000"/>
                <w:szCs w:val="20"/>
              </w:rPr>
              <w:t>Acordul de parteneriat 2014-2020</w:t>
            </w:r>
          </w:p>
        </w:tc>
        <w:tc>
          <w:tcPr>
            <w:tcW w:w="6965" w:type="dxa"/>
            <w:tcBorders>
              <w:top w:val="single" w:sz="4" w:space="0" w:color="333333"/>
              <w:left w:val="nil"/>
              <w:bottom w:val="single" w:sz="4" w:space="0" w:color="333333"/>
              <w:right w:val="nil"/>
            </w:tcBorders>
            <w:tcMar>
              <w:top w:w="16" w:type="dxa"/>
              <w:left w:w="16" w:type="dxa"/>
              <w:bottom w:w="0" w:type="dxa"/>
              <w:right w:w="16" w:type="dxa"/>
            </w:tcMar>
          </w:tcPr>
          <w:p w14:paraId="2E9BEB4E" w14:textId="77777777" w:rsidR="00BE3B5D" w:rsidRPr="00DD681E" w:rsidRDefault="00BE3B5D" w:rsidP="002849B3">
            <w:pPr>
              <w:spacing w:before="0" w:after="0"/>
              <w:ind w:left="170" w:right="170"/>
              <w:jc w:val="both"/>
              <w:rPr>
                <w:rFonts w:cs="EUAlbertina"/>
                <w:color w:val="000000"/>
                <w:szCs w:val="20"/>
              </w:rPr>
            </w:pPr>
            <w:r w:rsidRPr="00DD681E">
              <w:rPr>
                <w:rFonts w:cs="EUAlbertina"/>
                <w:color w:val="000000"/>
                <w:szCs w:val="20"/>
              </w:rPr>
              <w:t xml:space="preserve">Document aprobat de Comisia Europeană, negociat în prealabil cu România, ca stat membru, reprezentând </w:t>
            </w:r>
            <w:r w:rsidRPr="00DD681E">
              <w:rPr>
                <w:rStyle w:val="rvts9"/>
                <w:rFonts w:cs="EUAlbertina"/>
                <w:color w:val="000000"/>
                <w:szCs w:val="20"/>
              </w:rPr>
              <w:t>documentul de referinţă pentru programarea instrumentelor structurale, asigurând conformitatea intervenţiilor acestor fonduri cu orientările strategice comunitare privind coeziunea şi priorităţile naţionale de dezvoltare, precum şi legătura dintre priorităţile la nivel comunitar şi/sau alte programe naționale</w:t>
            </w:r>
            <w:r w:rsidRPr="00DD681E">
              <w:rPr>
                <w:rFonts w:cs="EUAlbertina"/>
                <w:color w:val="000000"/>
                <w:szCs w:val="20"/>
              </w:rPr>
              <w:t>.</w:t>
            </w:r>
            <w:r w:rsidR="00734990" w:rsidRPr="00DD681E">
              <w:rPr>
                <w:rFonts w:cs="EUAlbertina"/>
                <w:color w:val="000000"/>
                <w:szCs w:val="20"/>
              </w:rPr>
              <w:t xml:space="preserve"> Acordul de parteneriat prevede dispoziții pentru a asigura alinierea cu strategia uniunii pentru o creștere inteligentă, durabilă și favorabilă incluziunii, precum și cu misiunile specifice fondurilor în conformitate cu obiectivele lor bazate pe tratate ale UE, dispoziții pentru implementarea eficace și eficientă a fondurilor ESI și dispoziții privind aplicarea principiului parteneriatului și a unei abordări integrate a dezvoltării teritoriale.</w:t>
            </w:r>
          </w:p>
        </w:tc>
      </w:tr>
      <w:tr w:rsidR="00EC3D5B" w:rsidRPr="00DD681E" w14:paraId="60E71B74" w14:textId="77777777" w:rsidTr="00EC3D5B">
        <w:tc>
          <w:tcPr>
            <w:tcW w:w="2230" w:type="dxa"/>
            <w:tcBorders>
              <w:top w:val="single" w:sz="4" w:space="0" w:color="333333"/>
              <w:left w:val="nil"/>
              <w:bottom w:val="single" w:sz="4" w:space="0" w:color="333333"/>
              <w:right w:val="nil"/>
            </w:tcBorders>
            <w:tcMar>
              <w:top w:w="16" w:type="dxa"/>
              <w:left w:w="16" w:type="dxa"/>
              <w:bottom w:w="0" w:type="dxa"/>
              <w:right w:w="16" w:type="dxa"/>
            </w:tcMar>
          </w:tcPr>
          <w:p w14:paraId="1D9E607A" w14:textId="77777777" w:rsidR="002F19EA" w:rsidRPr="00DD681E" w:rsidRDefault="002F19EA" w:rsidP="002849B3">
            <w:pPr>
              <w:spacing w:before="0" w:after="0"/>
              <w:jc w:val="both"/>
              <w:rPr>
                <w:szCs w:val="20"/>
              </w:rPr>
            </w:pPr>
            <w:r w:rsidRPr="00DD681E">
              <w:rPr>
                <w:rFonts w:cs="EUAlbertina"/>
                <w:color w:val="000000"/>
                <w:szCs w:val="20"/>
              </w:rPr>
              <w:t xml:space="preserve">Fondurile </w:t>
            </w:r>
            <w:r w:rsidR="000511A9" w:rsidRPr="00DD681E">
              <w:rPr>
                <w:rFonts w:cs="EUAlbertina"/>
                <w:color w:val="000000"/>
                <w:szCs w:val="20"/>
              </w:rPr>
              <w:t>F</w:t>
            </w:r>
            <w:r w:rsidRPr="00DD681E">
              <w:rPr>
                <w:rFonts w:cs="EUAlbertina"/>
                <w:color w:val="000000"/>
                <w:szCs w:val="20"/>
              </w:rPr>
              <w:t xml:space="preserve">ESI - </w:t>
            </w:r>
          </w:p>
          <w:p w14:paraId="5FE7DEF1" w14:textId="77777777" w:rsidR="00EC3D5B" w:rsidRPr="00DD681E" w:rsidRDefault="00EC3D5B" w:rsidP="002849B3">
            <w:pPr>
              <w:spacing w:before="0" w:after="0"/>
              <w:ind w:left="170" w:right="170"/>
              <w:jc w:val="both"/>
              <w:rPr>
                <w:szCs w:val="20"/>
              </w:rPr>
            </w:pPr>
          </w:p>
        </w:tc>
        <w:tc>
          <w:tcPr>
            <w:tcW w:w="6965" w:type="dxa"/>
            <w:tcBorders>
              <w:top w:val="single" w:sz="4" w:space="0" w:color="333333"/>
              <w:left w:val="nil"/>
              <w:bottom w:val="single" w:sz="4" w:space="0" w:color="333333"/>
              <w:right w:val="nil"/>
            </w:tcBorders>
            <w:tcMar>
              <w:top w:w="16" w:type="dxa"/>
              <w:left w:w="16" w:type="dxa"/>
              <w:bottom w:w="0" w:type="dxa"/>
              <w:right w:w="16" w:type="dxa"/>
            </w:tcMar>
          </w:tcPr>
          <w:p w14:paraId="5D60AD59" w14:textId="77777777" w:rsidR="00EC3D5B" w:rsidRPr="00DD681E" w:rsidRDefault="002F19EA" w:rsidP="002849B3">
            <w:pPr>
              <w:spacing w:before="0" w:after="0"/>
              <w:ind w:left="170" w:right="170"/>
              <w:jc w:val="both"/>
              <w:rPr>
                <w:szCs w:val="20"/>
              </w:rPr>
            </w:pPr>
            <w:r w:rsidRPr="00DD681E">
              <w:rPr>
                <w:rFonts w:cs="EUAlbertina"/>
                <w:color w:val="000000"/>
                <w:szCs w:val="20"/>
              </w:rPr>
              <w:t xml:space="preserve">Fondul european de dezvoltare regională (FEDR), Fondul social european (FSE), Fondul de coeziune, Fondul european agricol pentru dezvoltare rurală (FEADR) și Fondul european pentru pescuit și afaceri maritime (FEPAM), care funcționează în temeiul unui cadru comun („fondurile structurale și de investiții europene” – „fondurile </w:t>
            </w:r>
            <w:r w:rsidR="000511A9" w:rsidRPr="00DD681E">
              <w:rPr>
                <w:rFonts w:cs="EUAlbertina"/>
                <w:color w:val="000000"/>
                <w:szCs w:val="20"/>
              </w:rPr>
              <w:t>F</w:t>
            </w:r>
            <w:r w:rsidRPr="00DD681E">
              <w:rPr>
                <w:rFonts w:cs="EUAlbertina"/>
                <w:color w:val="000000"/>
                <w:szCs w:val="20"/>
              </w:rPr>
              <w:t>ESI”).</w:t>
            </w:r>
          </w:p>
        </w:tc>
      </w:tr>
      <w:tr w:rsidR="008717E9" w:rsidRPr="00DD681E" w14:paraId="7DDB3AEE" w14:textId="77777777" w:rsidTr="00EC3D5B">
        <w:tc>
          <w:tcPr>
            <w:tcW w:w="2230" w:type="dxa"/>
            <w:tcBorders>
              <w:top w:val="single" w:sz="4" w:space="0" w:color="333333"/>
              <w:left w:val="nil"/>
              <w:bottom w:val="single" w:sz="4" w:space="0" w:color="333333"/>
              <w:right w:val="nil"/>
            </w:tcBorders>
            <w:tcMar>
              <w:top w:w="16" w:type="dxa"/>
              <w:left w:w="16" w:type="dxa"/>
              <w:bottom w:w="0" w:type="dxa"/>
              <w:right w:w="16" w:type="dxa"/>
            </w:tcMar>
          </w:tcPr>
          <w:p w14:paraId="1D150F1A" w14:textId="77777777" w:rsidR="008717E9" w:rsidRPr="00DD681E" w:rsidRDefault="008717E9" w:rsidP="002849B3">
            <w:pPr>
              <w:spacing w:before="0" w:after="0"/>
            </w:pPr>
            <w:r w:rsidRPr="00DD681E">
              <w:t>Dezvoltarea locală plasată sub responsabilitatea comunității</w:t>
            </w:r>
          </w:p>
        </w:tc>
        <w:tc>
          <w:tcPr>
            <w:tcW w:w="6965" w:type="dxa"/>
            <w:tcBorders>
              <w:top w:val="single" w:sz="4" w:space="0" w:color="333333"/>
              <w:left w:val="nil"/>
              <w:bottom w:val="single" w:sz="4" w:space="0" w:color="333333"/>
              <w:right w:val="nil"/>
            </w:tcBorders>
            <w:tcMar>
              <w:top w:w="16" w:type="dxa"/>
              <w:left w:w="16" w:type="dxa"/>
              <w:bottom w:w="0" w:type="dxa"/>
              <w:right w:w="16" w:type="dxa"/>
            </w:tcMar>
          </w:tcPr>
          <w:p w14:paraId="4BF129BE" w14:textId="77777777" w:rsidR="008717E9" w:rsidRPr="00DD681E" w:rsidRDefault="008717E9" w:rsidP="002849B3">
            <w:pPr>
              <w:spacing w:before="0" w:after="0"/>
            </w:pPr>
            <w:r w:rsidRPr="00DD681E">
              <w:t>CLLD este o noțiune utilizată de Comisia Europeană pentru a descrie o abordare „de jos în sus”, în care populația locală preia controlul și formează un parteneriat local. Acesta din urmă are rolul de a elabora și pune în aplicare o strategie de dezvoltare integrată. Strategia este concepută astfel încât să valorifice punctele forte sau „atuurile” sociale, de mediu și economice ale comunității, mai degrabă decât să compenseze problemele cu care se confruntă aceasta. În acest scop, parteneriatul beneficiază de finanțare pe termen lung și deține puterea de decizie cu privire la modul în care sunt cheltuite fondurile.</w:t>
            </w:r>
          </w:p>
        </w:tc>
      </w:tr>
      <w:tr w:rsidR="00E359D9" w:rsidRPr="00DD681E" w14:paraId="7D7CB319" w14:textId="77777777" w:rsidTr="00BE3B5D">
        <w:tc>
          <w:tcPr>
            <w:tcW w:w="2230" w:type="dxa"/>
            <w:tcBorders>
              <w:top w:val="single" w:sz="4" w:space="0" w:color="333333"/>
              <w:left w:val="nil"/>
              <w:bottom w:val="single" w:sz="4" w:space="0" w:color="333333"/>
              <w:right w:val="nil"/>
            </w:tcBorders>
            <w:tcMar>
              <w:top w:w="16" w:type="dxa"/>
              <w:left w:w="16" w:type="dxa"/>
              <w:bottom w:w="0" w:type="dxa"/>
              <w:right w:w="16" w:type="dxa"/>
            </w:tcMar>
          </w:tcPr>
          <w:p w14:paraId="5E70C5A7" w14:textId="77777777" w:rsidR="00E359D9" w:rsidRPr="00DD681E" w:rsidRDefault="00E359D9" w:rsidP="002849B3">
            <w:pPr>
              <w:spacing w:before="0" w:after="0"/>
              <w:jc w:val="both"/>
              <w:rPr>
                <w:rFonts w:cs="EUAlbertina"/>
                <w:color w:val="000000"/>
                <w:szCs w:val="20"/>
              </w:rPr>
            </w:pPr>
            <w:r w:rsidRPr="00DD681E">
              <w:rPr>
                <w:rFonts w:cs="EUAlbertina"/>
                <w:color w:val="000000"/>
                <w:szCs w:val="20"/>
              </w:rPr>
              <w:t xml:space="preserve">Investiții teritoriale integrate </w:t>
            </w:r>
          </w:p>
        </w:tc>
        <w:tc>
          <w:tcPr>
            <w:tcW w:w="6965" w:type="dxa"/>
            <w:tcBorders>
              <w:top w:val="single" w:sz="4" w:space="0" w:color="333333"/>
              <w:left w:val="nil"/>
              <w:bottom w:val="single" w:sz="4" w:space="0" w:color="333333"/>
              <w:right w:val="nil"/>
            </w:tcBorders>
            <w:tcMar>
              <w:top w:w="16" w:type="dxa"/>
              <w:left w:w="16" w:type="dxa"/>
              <w:bottom w:w="0" w:type="dxa"/>
              <w:right w:w="16" w:type="dxa"/>
            </w:tcMar>
          </w:tcPr>
          <w:p w14:paraId="275B87FD" w14:textId="77777777" w:rsidR="00E359D9" w:rsidRPr="00DD681E" w:rsidRDefault="00ED45FC" w:rsidP="002849B3">
            <w:pPr>
              <w:spacing w:before="0" w:after="0"/>
              <w:ind w:left="170" w:right="170"/>
              <w:jc w:val="both"/>
              <w:rPr>
                <w:szCs w:val="20"/>
              </w:rPr>
            </w:pPr>
            <w:r w:rsidRPr="00DD681E">
              <w:rPr>
                <w:szCs w:val="20"/>
              </w:rPr>
              <w:t>O investiție teritorială integrată presupune o nouă modalitate de finanțare a unei strategii de dezvoltare urbană/ strategie teritorială/  pact teritorial ce implică investiții din FSE, FEDR sau fondul de coeziune în mai multe axe prioritare ale unuia sau mai multor programe operaționale</w:t>
            </w:r>
            <w:r w:rsidR="00254D30" w:rsidRPr="00DD681E">
              <w:rPr>
                <w:szCs w:val="20"/>
              </w:rPr>
              <w:t xml:space="preserve">. Instrumentul ITI și alocările financiare orientative din fiecare axă prioritară/program sunt în conformitate cu normele specifice fiecărui fond. </w:t>
            </w:r>
          </w:p>
        </w:tc>
      </w:tr>
      <w:tr w:rsidR="00BE3B5D" w:rsidRPr="00DD681E" w14:paraId="72668A66" w14:textId="77777777" w:rsidTr="00BE3B5D">
        <w:tc>
          <w:tcPr>
            <w:tcW w:w="2230" w:type="dxa"/>
            <w:tcBorders>
              <w:top w:val="single" w:sz="4" w:space="0" w:color="333333"/>
              <w:left w:val="nil"/>
              <w:bottom w:val="single" w:sz="4" w:space="0" w:color="333333"/>
              <w:right w:val="nil"/>
            </w:tcBorders>
            <w:tcMar>
              <w:top w:w="16" w:type="dxa"/>
              <w:left w:w="16" w:type="dxa"/>
              <w:bottom w:w="0" w:type="dxa"/>
              <w:right w:w="16" w:type="dxa"/>
            </w:tcMar>
          </w:tcPr>
          <w:p w14:paraId="33EFBD25" w14:textId="77777777" w:rsidR="00BE3B5D" w:rsidRPr="00DD681E" w:rsidRDefault="00BE3B5D" w:rsidP="002849B3">
            <w:pPr>
              <w:spacing w:before="0" w:after="0"/>
              <w:ind w:right="170"/>
              <w:jc w:val="both"/>
              <w:rPr>
                <w:szCs w:val="20"/>
              </w:rPr>
            </w:pPr>
            <w:r w:rsidRPr="00DD681E">
              <w:rPr>
                <w:szCs w:val="20"/>
              </w:rPr>
              <w:t>Program operaţional</w:t>
            </w:r>
          </w:p>
        </w:tc>
        <w:tc>
          <w:tcPr>
            <w:tcW w:w="6965" w:type="dxa"/>
            <w:tcBorders>
              <w:top w:val="single" w:sz="4" w:space="0" w:color="333333"/>
              <w:left w:val="nil"/>
              <w:bottom w:val="single" w:sz="4" w:space="0" w:color="333333"/>
              <w:right w:val="nil"/>
            </w:tcBorders>
            <w:tcMar>
              <w:top w:w="16" w:type="dxa"/>
              <w:left w:w="16" w:type="dxa"/>
              <w:bottom w:w="0" w:type="dxa"/>
              <w:right w:w="16" w:type="dxa"/>
            </w:tcMar>
          </w:tcPr>
          <w:p w14:paraId="0F38000C" w14:textId="77777777" w:rsidR="00BE3B5D" w:rsidRPr="00DD681E" w:rsidRDefault="00BE3B5D" w:rsidP="002849B3">
            <w:pPr>
              <w:spacing w:before="0" w:after="0"/>
              <w:ind w:left="170" w:right="170"/>
              <w:jc w:val="both"/>
              <w:rPr>
                <w:szCs w:val="20"/>
              </w:rPr>
            </w:pPr>
            <w:r w:rsidRPr="00DD681E">
              <w:rPr>
                <w:szCs w:val="20"/>
              </w:rPr>
              <w:t>Document strategic de programare elaborat de Statul Membru şi aprobat de Comisia Europeană, prin care este stabilită o strategie de dezvoltare sectorială sau regională printr-un set de priorităţi coerente.</w:t>
            </w:r>
          </w:p>
        </w:tc>
      </w:tr>
      <w:tr w:rsidR="00BE3B5D" w:rsidRPr="00DD681E" w14:paraId="5C79F73D" w14:textId="77777777" w:rsidTr="00BE3B5D">
        <w:tc>
          <w:tcPr>
            <w:tcW w:w="2230" w:type="dxa"/>
            <w:tcBorders>
              <w:top w:val="single" w:sz="4" w:space="0" w:color="333333"/>
              <w:left w:val="nil"/>
              <w:bottom w:val="single" w:sz="4" w:space="0" w:color="333333"/>
              <w:right w:val="nil"/>
            </w:tcBorders>
            <w:tcMar>
              <w:top w:w="16" w:type="dxa"/>
              <w:left w:w="16" w:type="dxa"/>
              <w:bottom w:w="0" w:type="dxa"/>
              <w:right w:w="16" w:type="dxa"/>
            </w:tcMar>
          </w:tcPr>
          <w:p w14:paraId="62D8542D" w14:textId="77777777" w:rsidR="00BE3B5D" w:rsidRPr="00DD681E" w:rsidRDefault="00BE3B5D" w:rsidP="002849B3">
            <w:pPr>
              <w:spacing w:before="0" w:after="0"/>
              <w:ind w:right="170"/>
              <w:jc w:val="both"/>
              <w:rPr>
                <w:szCs w:val="20"/>
              </w:rPr>
            </w:pPr>
            <w:r w:rsidRPr="00DD681E">
              <w:rPr>
                <w:szCs w:val="20"/>
              </w:rPr>
              <w:t>Programul Operaţional Regional</w:t>
            </w:r>
          </w:p>
        </w:tc>
        <w:tc>
          <w:tcPr>
            <w:tcW w:w="6965" w:type="dxa"/>
            <w:tcBorders>
              <w:top w:val="single" w:sz="4" w:space="0" w:color="333333"/>
              <w:left w:val="nil"/>
              <w:bottom w:val="single" w:sz="4" w:space="0" w:color="333333"/>
              <w:right w:val="nil"/>
            </w:tcBorders>
            <w:tcMar>
              <w:top w:w="16" w:type="dxa"/>
              <w:left w:w="16" w:type="dxa"/>
              <w:bottom w:w="0" w:type="dxa"/>
              <w:right w:w="16" w:type="dxa"/>
            </w:tcMar>
          </w:tcPr>
          <w:p w14:paraId="20223C8F" w14:textId="05118F54" w:rsidR="00BE3B5D" w:rsidRPr="00797026" w:rsidRDefault="00797026" w:rsidP="00797026">
            <w:pPr>
              <w:spacing w:before="0" w:after="0"/>
              <w:ind w:left="170" w:right="170"/>
              <w:jc w:val="both"/>
              <w:rPr>
                <w:rFonts w:eastAsia="SimSun"/>
                <w:bCs/>
              </w:rPr>
            </w:pPr>
            <w:r w:rsidRPr="00797026">
              <w:rPr>
                <w:szCs w:val="20"/>
              </w:rPr>
              <w:t>Programul Operațional Regional (POR) 2014-2020 este unul din programele aferente Acordului de Parteneriat 2014-2020, prin care se pot accesa fondurile europene structurale și de investiții, în concret, cele provenite din Fondul European pentru Dezvoltare Regională (FEDR). Programul a fost aprobat prin decizia Comisiei Europene nr. C (2015) 4272/23.06.2015.</w:t>
            </w:r>
          </w:p>
        </w:tc>
      </w:tr>
      <w:tr w:rsidR="00BE3B5D" w:rsidRPr="00DD681E" w14:paraId="62F0114A" w14:textId="77777777" w:rsidTr="00BE3B5D">
        <w:tc>
          <w:tcPr>
            <w:tcW w:w="2230" w:type="dxa"/>
            <w:tcBorders>
              <w:top w:val="single" w:sz="4" w:space="0" w:color="333333"/>
              <w:left w:val="nil"/>
              <w:bottom w:val="single" w:sz="4" w:space="0" w:color="333333"/>
              <w:right w:val="nil"/>
            </w:tcBorders>
            <w:tcMar>
              <w:top w:w="16" w:type="dxa"/>
              <w:left w:w="16" w:type="dxa"/>
              <w:bottom w:w="0" w:type="dxa"/>
              <w:right w:w="16" w:type="dxa"/>
            </w:tcMar>
          </w:tcPr>
          <w:p w14:paraId="4E0ECF54" w14:textId="77777777" w:rsidR="00BE3B5D" w:rsidRPr="00DD681E" w:rsidRDefault="00BE3B5D" w:rsidP="002849B3">
            <w:pPr>
              <w:spacing w:before="0" w:after="0"/>
              <w:ind w:right="170"/>
              <w:jc w:val="both"/>
              <w:rPr>
                <w:szCs w:val="20"/>
              </w:rPr>
            </w:pPr>
            <w:r w:rsidRPr="00DD681E">
              <w:rPr>
                <w:szCs w:val="20"/>
              </w:rPr>
              <w:t>Regiuni de dezvoltare</w:t>
            </w:r>
          </w:p>
        </w:tc>
        <w:tc>
          <w:tcPr>
            <w:tcW w:w="6965" w:type="dxa"/>
            <w:tcBorders>
              <w:top w:val="single" w:sz="4" w:space="0" w:color="333333"/>
              <w:left w:val="nil"/>
              <w:bottom w:val="single" w:sz="4" w:space="0" w:color="333333"/>
              <w:right w:val="nil"/>
            </w:tcBorders>
            <w:tcMar>
              <w:top w:w="16" w:type="dxa"/>
              <w:left w:w="16" w:type="dxa"/>
              <w:bottom w:w="0" w:type="dxa"/>
              <w:right w:w="16" w:type="dxa"/>
            </w:tcMar>
          </w:tcPr>
          <w:p w14:paraId="2934A022" w14:textId="77777777" w:rsidR="00BE3B5D" w:rsidRPr="00DD681E" w:rsidRDefault="00BE3B5D" w:rsidP="002849B3">
            <w:pPr>
              <w:spacing w:before="0" w:after="0"/>
              <w:ind w:left="170" w:right="170"/>
              <w:jc w:val="both"/>
              <w:rPr>
                <w:szCs w:val="20"/>
              </w:rPr>
            </w:pPr>
            <w:r w:rsidRPr="00DD681E">
              <w:rPr>
                <w:szCs w:val="20"/>
              </w:rPr>
              <w:t>Unităţi teritorial - statistice, alcătuite din asocierea liberă/voluntară a judeţelor. Ele corespund nivelului NUTS II în Nomenclatorul Unităţilor Statistice Teritoriale (NUTS) ale EUROSTAT, pentru care se colectează date statistice specifice, în conformitate cu reglementările EUROSTAT pentru teritoriile de nivel NUTS II. În România există 8 astfel de regiuni de dezvoltare.</w:t>
            </w:r>
          </w:p>
        </w:tc>
      </w:tr>
      <w:tr w:rsidR="00174F2C" w:rsidRPr="00DD681E" w14:paraId="75E31C1F" w14:textId="77777777" w:rsidTr="00BE3B5D">
        <w:tc>
          <w:tcPr>
            <w:tcW w:w="2230" w:type="dxa"/>
            <w:tcBorders>
              <w:top w:val="single" w:sz="4" w:space="0" w:color="333333"/>
              <w:left w:val="nil"/>
              <w:bottom w:val="single" w:sz="4" w:space="0" w:color="333333"/>
              <w:right w:val="nil"/>
            </w:tcBorders>
            <w:tcMar>
              <w:top w:w="16" w:type="dxa"/>
              <w:left w:w="16" w:type="dxa"/>
              <w:bottom w:w="0" w:type="dxa"/>
              <w:right w:w="16" w:type="dxa"/>
            </w:tcMar>
          </w:tcPr>
          <w:p w14:paraId="2ED43507" w14:textId="77777777" w:rsidR="00174F2C" w:rsidRPr="00DD681E" w:rsidRDefault="00174F2C" w:rsidP="002849B3">
            <w:pPr>
              <w:spacing w:before="0" w:after="0"/>
              <w:ind w:right="170"/>
              <w:jc w:val="both"/>
              <w:rPr>
                <w:szCs w:val="20"/>
              </w:rPr>
            </w:pPr>
            <w:r w:rsidRPr="00DD681E">
              <w:rPr>
                <w:szCs w:val="20"/>
              </w:rPr>
              <w:t>Indicatori de rezultat</w:t>
            </w:r>
          </w:p>
        </w:tc>
        <w:tc>
          <w:tcPr>
            <w:tcW w:w="6965" w:type="dxa"/>
            <w:tcBorders>
              <w:top w:val="single" w:sz="4" w:space="0" w:color="333333"/>
              <w:left w:val="nil"/>
              <w:bottom w:val="single" w:sz="4" w:space="0" w:color="333333"/>
              <w:right w:val="nil"/>
            </w:tcBorders>
            <w:tcMar>
              <w:top w:w="16" w:type="dxa"/>
              <w:left w:w="16" w:type="dxa"/>
              <w:bottom w:w="0" w:type="dxa"/>
              <w:right w:w="16" w:type="dxa"/>
            </w:tcMar>
          </w:tcPr>
          <w:p w14:paraId="1E030BA9" w14:textId="77777777" w:rsidR="00174F2C" w:rsidRPr="00DD681E" w:rsidRDefault="003B0DA1" w:rsidP="002849B3">
            <w:pPr>
              <w:spacing w:before="0" w:after="0"/>
              <w:ind w:left="170" w:right="170"/>
              <w:jc w:val="both"/>
              <w:rPr>
                <w:szCs w:val="20"/>
              </w:rPr>
            </w:pPr>
            <w:r w:rsidRPr="00DD681E">
              <w:rPr>
                <w:szCs w:val="20"/>
              </w:rPr>
              <w:t xml:space="preserve">Indicatorii de rezultat </w:t>
            </w:r>
            <w:r w:rsidRPr="00DD681E">
              <w:t>măsoară beneficiul real al rezultatelor imediate asupra grupului ţintă.</w:t>
            </w:r>
          </w:p>
        </w:tc>
      </w:tr>
      <w:tr w:rsidR="00174F2C" w:rsidRPr="00DD681E" w14:paraId="1E8B7D0D" w14:textId="77777777" w:rsidTr="00BE3B5D">
        <w:tc>
          <w:tcPr>
            <w:tcW w:w="2230" w:type="dxa"/>
            <w:tcBorders>
              <w:top w:val="single" w:sz="4" w:space="0" w:color="333333"/>
              <w:left w:val="nil"/>
              <w:bottom w:val="single" w:sz="4" w:space="0" w:color="333333"/>
              <w:right w:val="nil"/>
            </w:tcBorders>
            <w:tcMar>
              <w:top w:w="16" w:type="dxa"/>
              <w:left w:w="16" w:type="dxa"/>
              <w:bottom w:w="0" w:type="dxa"/>
              <w:right w:w="16" w:type="dxa"/>
            </w:tcMar>
          </w:tcPr>
          <w:p w14:paraId="24BAC747" w14:textId="77777777" w:rsidR="00174F2C" w:rsidRPr="00DD681E" w:rsidRDefault="00174F2C" w:rsidP="002849B3">
            <w:pPr>
              <w:spacing w:before="0" w:after="0"/>
              <w:ind w:right="170"/>
              <w:jc w:val="both"/>
              <w:rPr>
                <w:szCs w:val="20"/>
              </w:rPr>
            </w:pPr>
            <w:r w:rsidRPr="00DD681E">
              <w:rPr>
                <w:szCs w:val="20"/>
              </w:rPr>
              <w:t>Indicatori de output</w:t>
            </w:r>
            <w:r w:rsidR="003B0DA1" w:rsidRPr="00DD681E">
              <w:rPr>
                <w:szCs w:val="20"/>
              </w:rPr>
              <w:t xml:space="preserve"> </w:t>
            </w:r>
          </w:p>
        </w:tc>
        <w:tc>
          <w:tcPr>
            <w:tcW w:w="6965" w:type="dxa"/>
            <w:tcBorders>
              <w:top w:val="single" w:sz="4" w:space="0" w:color="333333"/>
              <w:left w:val="nil"/>
              <w:bottom w:val="single" w:sz="4" w:space="0" w:color="333333"/>
              <w:right w:val="nil"/>
            </w:tcBorders>
            <w:tcMar>
              <w:top w:w="16" w:type="dxa"/>
              <w:left w:w="16" w:type="dxa"/>
              <w:bottom w:w="0" w:type="dxa"/>
              <w:right w:w="16" w:type="dxa"/>
            </w:tcMar>
          </w:tcPr>
          <w:p w14:paraId="2C7BA591" w14:textId="77777777" w:rsidR="00174F2C" w:rsidRPr="00DD681E" w:rsidRDefault="003B0DA1" w:rsidP="002849B3">
            <w:pPr>
              <w:spacing w:before="0" w:after="0"/>
              <w:ind w:left="170" w:right="170"/>
              <w:jc w:val="both"/>
              <w:rPr>
                <w:szCs w:val="20"/>
              </w:rPr>
            </w:pPr>
            <w:r w:rsidRPr="00DD681E">
              <w:t xml:space="preserve">Indicatorii de </w:t>
            </w:r>
            <w:r w:rsidR="00ED6E1F" w:rsidRPr="00DD681E">
              <w:t>output</w:t>
            </w:r>
            <w:r w:rsidRPr="00DD681E">
              <w:t xml:space="preserve"> măsoară </w:t>
            </w:r>
            <w:r w:rsidR="00ED6E1F" w:rsidRPr="00DD681E">
              <w:t xml:space="preserve">produsele directe ale activităţilor unui </w:t>
            </w:r>
            <w:r w:rsidR="00ED6E1F" w:rsidRPr="00DD681E">
              <w:lastRenderedPageBreak/>
              <w:t>program, tot ceea ce a fost obţinut prin consumarea resurselor alocate.</w:t>
            </w:r>
          </w:p>
        </w:tc>
      </w:tr>
    </w:tbl>
    <w:p w14:paraId="7E709EA4" w14:textId="77777777" w:rsidR="00FC0DA4" w:rsidRDefault="00FC0DA4" w:rsidP="002849B3">
      <w:pPr>
        <w:spacing w:before="0" w:after="0"/>
        <w:jc w:val="both"/>
        <w:rPr>
          <w:b/>
          <w:bCs/>
          <w:szCs w:val="20"/>
        </w:rPr>
      </w:pPr>
    </w:p>
    <w:p w14:paraId="6849193D" w14:textId="77777777" w:rsidR="00EC3D5B" w:rsidRPr="00DD681E" w:rsidRDefault="00EC3D5B" w:rsidP="002849B3">
      <w:pPr>
        <w:spacing w:before="0" w:after="0"/>
        <w:jc w:val="both"/>
        <w:rPr>
          <w:b/>
          <w:bCs/>
          <w:szCs w:val="20"/>
        </w:rPr>
      </w:pPr>
      <w:r w:rsidRPr="00DD681E">
        <w:rPr>
          <w:b/>
          <w:bCs/>
          <w:szCs w:val="20"/>
        </w:rPr>
        <w:t>Programul Operaţional Regional – instituţii, structuri, documente</w:t>
      </w:r>
    </w:p>
    <w:p w14:paraId="575A17DE" w14:textId="77777777" w:rsidR="00EC6825" w:rsidRPr="00DD681E" w:rsidRDefault="00EC6825" w:rsidP="002849B3">
      <w:pPr>
        <w:spacing w:before="0" w:after="0"/>
        <w:jc w:val="both"/>
        <w:rPr>
          <w:b/>
          <w:bCs/>
          <w:szCs w:val="20"/>
        </w:rPr>
      </w:pPr>
    </w:p>
    <w:tbl>
      <w:tblPr>
        <w:tblW w:w="9655" w:type="dxa"/>
        <w:tblBorders>
          <w:top w:val="single" w:sz="4" w:space="0" w:color="333333"/>
          <w:bottom w:val="single" w:sz="4" w:space="0" w:color="333333"/>
          <w:insideH w:val="single" w:sz="4" w:space="0" w:color="333333"/>
        </w:tblBorders>
        <w:tblLayout w:type="fixed"/>
        <w:tblCellMar>
          <w:left w:w="0" w:type="dxa"/>
          <w:right w:w="0" w:type="dxa"/>
        </w:tblCellMar>
        <w:tblLook w:val="04A0" w:firstRow="1" w:lastRow="0" w:firstColumn="1" w:lastColumn="0" w:noHBand="0" w:noVBand="1"/>
      </w:tblPr>
      <w:tblGrid>
        <w:gridCol w:w="2230"/>
        <w:gridCol w:w="7425"/>
      </w:tblGrid>
      <w:tr w:rsidR="002C079F" w:rsidRPr="00DD681E" w14:paraId="6927F7C7" w14:textId="77777777" w:rsidTr="007178DD">
        <w:tc>
          <w:tcPr>
            <w:tcW w:w="2230" w:type="dxa"/>
            <w:tcBorders>
              <w:top w:val="single" w:sz="4" w:space="0" w:color="333333"/>
              <w:left w:val="nil"/>
              <w:bottom w:val="single" w:sz="4" w:space="0" w:color="333333"/>
              <w:right w:val="nil"/>
            </w:tcBorders>
            <w:tcMar>
              <w:top w:w="16" w:type="dxa"/>
              <w:left w:w="16" w:type="dxa"/>
              <w:bottom w:w="0" w:type="dxa"/>
              <w:right w:w="16" w:type="dxa"/>
            </w:tcMar>
          </w:tcPr>
          <w:p w14:paraId="36529044" w14:textId="77777777" w:rsidR="002C079F" w:rsidRPr="00DD681E" w:rsidRDefault="002C079F" w:rsidP="002849B3">
            <w:pPr>
              <w:spacing w:before="0" w:after="0"/>
              <w:ind w:left="170" w:right="170"/>
              <w:jc w:val="both"/>
              <w:rPr>
                <w:szCs w:val="20"/>
              </w:rPr>
            </w:pPr>
            <w:r w:rsidRPr="00DD681E">
              <w:rPr>
                <w:szCs w:val="20"/>
              </w:rPr>
              <w:t>Accelerator de afaceri</w:t>
            </w:r>
          </w:p>
        </w:tc>
        <w:tc>
          <w:tcPr>
            <w:tcW w:w="7425" w:type="dxa"/>
            <w:tcBorders>
              <w:top w:val="single" w:sz="4" w:space="0" w:color="333333"/>
              <w:left w:val="nil"/>
              <w:bottom w:val="single" w:sz="4" w:space="0" w:color="333333"/>
              <w:right w:val="nil"/>
            </w:tcBorders>
            <w:tcMar>
              <w:top w:w="16" w:type="dxa"/>
              <w:left w:w="16" w:type="dxa"/>
              <w:bottom w:w="0" w:type="dxa"/>
              <w:right w:w="16" w:type="dxa"/>
            </w:tcMar>
          </w:tcPr>
          <w:p w14:paraId="18755AC5" w14:textId="77777777" w:rsidR="002C079F" w:rsidRPr="00DD681E" w:rsidRDefault="002C079F" w:rsidP="002849B3">
            <w:pPr>
              <w:spacing w:before="0" w:after="0"/>
              <w:ind w:left="170" w:right="170"/>
              <w:jc w:val="both"/>
              <w:rPr>
                <w:szCs w:val="20"/>
              </w:rPr>
            </w:pPr>
            <w:r w:rsidRPr="00DD681E">
              <w:t>Acceleratorul de afaceri reprezintă incubatorul de afaceri care asigură accesul la fonduri, în etape, pentru rezidenţi, în scopul lansării pe piaţă a unui produs sau serviciu într-o perioadă scurtă de timp.</w:t>
            </w:r>
          </w:p>
        </w:tc>
      </w:tr>
      <w:tr w:rsidR="00EC3D5B" w:rsidRPr="00DD681E" w14:paraId="5F2BA468" w14:textId="77777777"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3D5980AF" w14:textId="77777777" w:rsidR="00EC3D5B" w:rsidRPr="00DD681E" w:rsidRDefault="00EC3D5B" w:rsidP="002849B3">
            <w:pPr>
              <w:spacing w:before="0" w:after="0"/>
              <w:ind w:left="170" w:right="170"/>
              <w:jc w:val="both"/>
              <w:rPr>
                <w:szCs w:val="20"/>
              </w:rPr>
            </w:pPr>
            <w:r w:rsidRPr="00DD681E">
              <w:rPr>
                <w:szCs w:val="20"/>
              </w:rPr>
              <w:t>Agenţie pentru Dezvoltare Regională</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14:paraId="2DAA88ED" w14:textId="77777777" w:rsidR="00EC3D5B" w:rsidRPr="00A757CA" w:rsidRDefault="00EC3D5B" w:rsidP="002849B3">
            <w:pPr>
              <w:spacing w:before="0" w:after="0"/>
              <w:ind w:left="170" w:right="170"/>
              <w:jc w:val="both"/>
              <w:rPr>
                <w:szCs w:val="20"/>
              </w:rPr>
            </w:pPr>
            <w:r w:rsidRPr="00DD681E">
              <w:rPr>
                <w:szCs w:val="20"/>
              </w:rPr>
              <w:t>Organism neguvernamental, nonprofit, de utilitate publică, cu personalitate juridică, ce funcţionează în domeniul dezvoltării regionale şi care se organizează şi funcţionează în condiţiile Legii nr. 315/2004</w:t>
            </w:r>
            <w:r w:rsidRPr="00DD681E">
              <w:rPr>
                <w:rStyle w:val="FootnoteReference"/>
                <w:szCs w:val="20"/>
              </w:rPr>
              <w:footnoteReference w:id="1"/>
            </w:r>
            <w:r w:rsidRPr="00DD681E">
              <w:rPr>
                <w:szCs w:val="20"/>
              </w:rPr>
              <w:t xml:space="preserve"> privind dezvoltarea regională în </w:t>
            </w:r>
            <w:r w:rsidRPr="00A757CA">
              <w:rPr>
                <w:szCs w:val="20"/>
              </w:rPr>
              <w:t>România, cu modificările şi completările ulterioare.</w:t>
            </w:r>
          </w:p>
          <w:p w14:paraId="0253AD4A" w14:textId="4F7C4A44" w:rsidR="00EC3D5B" w:rsidRPr="00DD681E" w:rsidRDefault="00EC3D5B" w:rsidP="00A757CA">
            <w:pPr>
              <w:spacing w:before="0" w:after="0"/>
              <w:ind w:left="170" w:right="170"/>
              <w:jc w:val="both"/>
              <w:rPr>
                <w:szCs w:val="20"/>
              </w:rPr>
            </w:pPr>
            <w:r w:rsidRPr="00A757CA">
              <w:rPr>
                <w:szCs w:val="20"/>
              </w:rPr>
              <w:t>Conform prevederilor HG nr.</w:t>
            </w:r>
            <w:r w:rsidR="00664199" w:rsidRPr="00A757CA">
              <w:rPr>
                <w:szCs w:val="20"/>
              </w:rPr>
              <w:t xml:space="preserve"> 398/2015</w:t>
            </w:r>
            <w:r w:rsidRPr="00A757CA">
              <w:rPr>
                <w:szCs w:val="20"/>
              </w:rPr>
              <w:t>, ADR-urile</w:t>
            </w:r>
            <w:r w:rsidRPr="00DD681E">
              <w:rPr>
                <w:szCs w:val="20"/>
              </w:rPr>
              <w:t xml:space="preserve"> au fost desemnate Organisme intermediare pentru Programul Operaţional Regional.</w:t>
            </w:r>
          </w:p>
        </w:tc>
      </w:tr>
      <w:tr w:rsidR="00EC3D5B" w:rsidRPr="00DD681E" w14:paraId="366B747C" w14:textId="77777777"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284F104A" w14:textId="77777777" w:rsidR="00EC3D5B" w:rsidRPr="00DD681E" w:rsidRDefault="00EC3D5B" w:rsidP="002849B3">
            <w:pPr>
              <w:spacing w:before="0" w:after="0"/>
              <w:ind w:left="170" w:right="170"/>
              <w:jc w:val="both"/>
              <w:rPr>
                <w:szCs w:val="20"/>
              </w:rPr>
            </w:pPr>
            <w:r w:rsidRPr="00DD681E">
              <w:rPr>
                <w:szCs w:val="20"/>
              </w:rPr>
              <w:t>Asociaţie de dezvoltare intercomunitară</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14:paraId="7C309D94" w14:textId="77777777" w:rsidR="00EC3D5B" w:rsidRPr="00DD681E" w:rsidRDefault="00EC3D5B" w:rsidP="002849B3">
            <w:pPr>
              <w:spacing w:before="0" w:after="0"/>
              <w:ind w:left="170" w:right="170"/>
              <w:jc w:val="both"/>
              <w:rPr>
                <w:rStyle w:val="rvts9"/>
                <w:rFonts w:cs="Tahoma"/>
                <w:szCs w:val="20"/>
              </w:rPr>
            </w:pPr>
            <w:r w:rsidRPr="00DD681E">
              <w:rPr>
                <w:rStyle w:val="rvts9"/>
                <w:rFonts w:cs="Tahoma"/>
                <w:szCs w:val="20"/>
              </w:rPr>
              <w:t>Conform art.1, alin.2, lit.c) din Legea nr.215/2001 privind administraţia publică locală, cu modificările şi completările ulterioare, Asociaţia de dezvoltare intercomunitară reprezintă o structură de cooperare cu personalitate juridică, de drept privat, înfiinţată, în condiţiile legii, de unităţile administrativ-teritoriale, pentru realizarea în comun a unor proiecte de dezvoltare de interes zonal sau regional ori furnizarea în comun a unor servicii publice.</w:t>
            </w:r>
          </w:p>
          <w:p w14:paraId="701A2788" w14:textId="77777777" w:rsidR="00EC3D5B" w:rsidRPr="00DD681E" w:rsidRDefault="00EC3D5B" w:rsidP="002849B3">
            <w:pPr>
              <w:spacing w:before="0" w:after="0"/>
              <w:ind w:left="170" w:right="170"/>
              <w:jc w:val="both"/>
              <w:rPr>
                <w:szCs w:val="20"/>
                <w:lang w:val="en-US"/>
              </w:rPr>
            </w:pPr>
            <w:r w:rsidRPr="00DD681E">
              <w:rPr>
                <w:rStyle w:val="rvts9"/>
                <w:rFonts w:cs="Tahoma"/>
                <w:szCs w:val="20"/>
              </w:rPr>
              <w:t xml:space="preserve">Conform art.2 lit.a) din Legea nr.51/2006 privind serviciile comunitare de utilităţi publice, cu modificările şi completările ulterioare, </w:t>
            </w:r>
            <w:r w:rsidRPr="00DD681E">
              <w:rPr>
                <w:rStyle w:val="rvts9"/>
                <w:rFonts w:cs="Tahoma"/>
                <w:i/>
                <w:iCs/>
                <w:szCs w:val="20"/>
              </w:rPr>
              <w:t>Asociaţia de dezvoltare intercomunitară cu obiect de activitate serviciile de utilităţi publice</w:t>
            </w:r>
            <w:r w:rsidRPr="00DD681E">
              <w:rPr>
                <w:rStyle w:val="rvts9"/>
                <w:rFonts w:cs="Tahoma"/>
                <w:szCs w:val="20"/>
              </w:rPr>
              <w:t xml:space="preserve"> reprezintă asociaţia de dezvoltare intercomunitară definită potrivit prevederilor Legii administraţiei publice locale nr.215/2001, republicată, având ca obiectiv înfiinţarea, organizarea, reglementarea, finanţarea, exploatarea, monitorizarea şi gestionarea în comun a serviciilor de utilităţi publice pe raza de competenţă a unităţilor administrativ-teritoriale membre, precum şi realizarea în comun a unor proiecte de investiţii publice de interes zonal sau regional destinate înfiinţării, modernizării şi/sau dezvoltării, după caz, a sistemelor de utilităţi publice aferente acestor servicii.</w:t>
            </w:r>
          </w:p>
        </w:tc>
      </w:tr>
      <w:tr w:rsidR="00EC3D5B" w:rsidRPr="00DD681E" w14:paraId="68FE633F" w14:textId="77777777"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53607810" w14:textId="77777777" w:rsidR="00EC3D5B" w:rsidRPr="00DD681E" w:rsidRDefault="00EC3D5B" w:rsidP="002849B3">
            <w:pPr>
              <w:spacing w:before="0" w:after="0"/>
              <w:ind w:left="170" w:right="170"/>
              <w:jc w:val="both"/>
              <w:rPr>
                <w:szCs w:val="20"/>
              </w:rPr>
            </w:pPr>
            <w:r w:rsidRPr="00DD681E">
              <w:rPr>
                <w:szCs w:val="20"/>
              </w:rPr>
              <w:t>Autoritatea de Audit</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14:paraId="36EACE70" w14:textId="77777777" w:rsidR="00EC3D5B" w:rsidRPr="00DD681E" w:rsidRDefault="00EC3D5B" w:rsidP="002849B3">
            <w:pPr>
              <w:spacing w:before="0" w:after="0"/>
              <w:ind w:left="170" w:right="170"/>
              <w:jc w:val="both"/>
              <w:rPr>
                <w:szCs w:val="20"/>
              </w:rPr>
            </w:pPr>
            <w:r w:rsidRPr="00DD681E">
              <w:rPr>
                <w:szCs w:val="20"/>
              </w:rPr>
              <w:t>Autoritatea publică, la nivel naţional, responsabilă cu verificarea operaţiunilor de management şi a sistemului de control pentru fiecare program operaţional, independentă funcţional de Autoritatea de Management şi de Autoritatea de Certificare. În România, pentru toate programele operaţionale, Autoritatea de Audit funcţionează pe lângă Curtea de Conturi.</w:t>
            </w:r>
          </w:p>
        </w:tc>
      </w:tr>
      <w:tr w:rsidR="00EC3D5B" w:rsidRPr="00DD681E" w14:paraId="33EB14A8" w14:textId="77777777"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02324973" w14:textId="77777777" w:rsidR="00EC3D5B" w:rsidRPr="00DD681E" w:rsidRDefault="00EC3D5B" w:rsidP="002849B3">
            <w:pPr>
              <w:spacing w:before="0" w:after="0"/>
              <w:ind w:left="170" w:right="170"/>
              <w:jc w:val="both"/>
              <w:rPr>
                <w:szCs w:val="20"/>
              </w:rPr>
            </w:pPr>
            <w:r w:rsidRPr="00DD681E">
              <w:rPr>
                <w:szCs w:val="20"/>
              </w:rPr>
              <w:t>Autoritatea de Certificare şi Plată</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14:paraId="5E3860EC" w14:textId="77777777" w:rsidR="00EC3D5B" w:rsidRPr="00DD681E" w:rsidRDefault="00EC3D5B" w:rsidP="002849B3">
            <w:pPr>
              <w:spacing w:before="0" w:after="0"/>
              <w:ind w:left="170" w:right="170"/>
              <w:jc w:val="both"/>
              <w:rPr>
                <w:szCs w:val="20"/>
              </w:rPr>
            </w:pPr>
            <w:r w:rsidRPr="00DD681E">
              <w:rPr>
                <w:szCs w:val="20"/>
              </w:rPr>
              <w:t>Structură organizatorică în cadrul Ministerului Finanţelor</w:t>
            </w:r>
            <w:r w:rsidR="002F19EA" w:rsidRPr="00DD681E">
              <w:rPr>
                <w:szCs w:val="20"/>
              </w:rPr>
              <w:t xml:space="preserve"> Publice</w:t>
            </w:r>
            <w:r w:rsidRPr="00DD681E">
              <w:rPr>
                <w:szCs w:val="20"/>
              </w:rPr>
              <w:t>, responsabilă de certificarea sumelor cuprinse în declaraţiile de cheltuieli transmise la Comisia Europeană şi pentru primirea fondurilor transferate României din Fondul European de Dezvoltare Regională, Fondul Social European şi Fondul de Coeziune şi asigurarea transferului acestora către beneficiari, precum şi a sumelor de prefinanţare şi cofinanţare aferente acestora din fonduri</w:t>
            </w:r>
            <w:r w:rsidR="002F19EA" w:rsidRPr="00DD681E">
              <w:rPr>
                <w:szCs w:val="20"/>
              </w:rPr>
              <w:t xml:space="preserve"> alocate de la bugetul de stat </w:t>
            </w:r>
          </w:p>
        </w:tc>
      </w:tr>
      <w:tr w:rsidR="00EC3D5B" w:rsidRPr="00DD681E" w14:paraId="14294E00" w14:textId="77777777"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5C84301F" w14:textId="77777777" w:rsidR="00EC3D5B" w:rsidRPr="00DD681E" w:rsidRDefault="00EC3D5B" w:rsidP="002849B3">
            <w:pPr>
              <w:spacing w:before="0" w:after="0"/>
              <w:ind w:left="170" w:right="170"/>
              <w:jc w:val="both"/>
              <w:rPr>
                <w:rFonts w:eastAsia="Arial Unicode MS"/>
                <w:szCs w:val="20"/>
              </w:rPr>
            </w:pPr>
            <w:r w:rsidRPr="00DD681E">
              <w:rPr>
                <w:szCs w:val="20"/>
              </w:rPr>
              <w:t>Autoritatea de management pentru Programul Operaţional Regional (AMPOR)</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14:paraId="5636ECDA" w14:textId="77777777" w:rsidR="00EC3D5B" w:rsidRPr="00DD681E" w:rsidRDefault="00E12C39" w:rsidP="002849B3">
            <w:pPr>
              <w:spacing w:before="0" w:after="0"/>
              <w:ind w:left="170" w:right="170"/>
              <w:jc w:val="both"/>
              <w:rPr>
                <w:rFonts w:eastAsia="Arial Unicode MS"/>
                <w:szCs w:val="20"/>
              </w:rPr>
            </w:pPr>
            <w:r w:rsidRPr="00DD681E">
              <w:rPr>
                <w:rFonts w:eastAsia="Arial Unicode MS"/>
                <w:szCs w:val="20"/>
              </w:rPr>
              <w:t>Ministerul Dezvoltării Regionale și Administrației Publice are responsabilitatea managementului, gestionării şi implementării asistenţei financiare din instrumente structurale ale Uniunii Europene pentru Programul Operaţional Regional în cadrul perioadei de programare 2014 – 2020, în conformitate cu prevederile Hotărârii de Guvern nr. 457/2008  privind cadrul instituţional de coordonare şi de gestionare a instrumentelor structurale şi ale Hotărârii de Guvern nr. 361/2007  privind organizarea şi funcţionarea Ministerului Dezvoltării, Lucrărilor Publice şi Locuinţelor, cu modificările şi completările ulterioare. H.G. nr. 1/2013 privind organizarea şi funcţionarea Ministerului Dezvoltării Regionale şi Administraţiei Publice.</w:t>
            </w:r>
          </w:p>
        </w:tc>
      </w:tr>
      <w:tr w:rsidR="000F2183" w:rsidRPr="00DD681E" w14:paraId="153FC559" w14:textId="77777777"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tcPr>
          <w:p w14:paraId="6487DA95" w14:textId="39346F17" w:rsidR="000F2183" w:rsidRPr="00DD681E" w:rsidRDefault="000F2183" w:rsidP="002849B3">
            <w:pPr>
              <w:spacing w:before="0" w:after="0"/>
              <w:ind w:left="170" w:right="170"/>
              <w:jc w:val="both"/>
              <w:rPr>
                <w:szCs w:val="20"/>
              </w:rPr>
            </w:pPr>
            <w:r w:rsidRPr="00EA3A79">
              <w:t>Autoritate Urbană</w:t>
            </w:r>
          </w:p>
        </w:tc>
        <w:tc>
          <w:tcPr>
            <w:tcW w:w="7425" w:type="dxa"/>
            <w:tcBorders>
              <w:top w:val="single" w:sz="4" w:space="0" w:color="333333"/>
              <w:left w:val="nil"/>
              <w:bottom w:val="single" w:sz="4" w:space="0" w:color="333333"/>
              <w:right w:val="nil"/>
            </w:tcBorders>
            <w:tcMar>
              <w:top w:w="16" w:type="dxa"/>
              <w:left w:w="16" w:type="dxa"/>
              <w:bottom w:w="0" w:type="dxa"/>
              <w:right w:w="16" w:type="dxa"/>
            </w:tcMar>
          </w:tcPr>
          <w:p w14:paraId="4AD9813C" w14:textId="2B969F59" w:rsidR="000F2183" w:rsidRPr="00DD681E" w:rsidRDefault="000F2183" w:rsidP="002849B3">
            <w:pPr>
              <w:spacing w:before="0" w:after="0"/>
              <w:ind w:left="170" w:right="170"/>
              <w:jc w:val="both"/>
              <w:rPr>
                <w:rFonts w:eastAsia="Arial Unicode MS"/>
                <w:szCs w:val="20"/>
              </w:rPr>
            </w:pPr>
            <w:r w:rsidRPr="00EA3A79">
              <w:t xml:space="preserve">În conformitate cu art. 7 din Regulamentul (UE) nr. 1301/2013 privind Fondul </w:t>
            </w:r>
            <w:r w:rsidRPr="00EA3A79">
              <w:lastRenderedPageBreak/>
              <w:t>European de Dezvoltare Regională (FEDR), autorităţile urbane sunt structuri ce funcționează la nivelul administrațiilor publice locale din cele 39 de municipii reşedinţă de judeţ eligibile în cadrul Axei prioritare 4 a POR 2014-2020 şi ale căror responsabilităţi sunt legate de selectarea listei de proiecte prioritare pentru respectivele zone urbane.</w:t>
            </w:r>
          </w:p>
        </w:tc>
      </w:tr>
      <w:tr w:rsidR="00EC3D5B" w:rsidRPr="00DD681E" w14:paraId="36C7BBDB" w14:textId="77777777"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0FA21192" w14:textId="77777777" w:rsidR="00EC3D5B" w:rsidRPr="00DD681E" w:rsidRDefault="00EC3D5B" w:rsidP="002849B3">
            <w:pPr>
              <w:spacing w:before="0" w:after="0"/>
              <w:ind w:left="170" w:right="170"/>
              <w:jc w:val="both"/>
              <w:rPr>
                <w:szCs w:val="20"/>
              </w:rPr>
            </w:pPr>
            <w:r w:rsidRPr="00DD681E">
              <w:rPr>
                <w:szCs w:val="20"/>
              </w:rPr>
              <w:lastRenderedPageBreak/>
              <w:t>Axă prioritară</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14:paraId="5788D106" w14:textId="77777777" w:rsidR="00EC3D5B" w:rsidRPr="00DD681E" w:rsidRDefault="00581426" w:rsidP="002849B3">
            <w:pPr>
              <w:spacing w:before="0" w:after="0"/>
              <w:ind w:left="170" w:right="170"/>
              <w:jc w:val="both"/>
              <w:rPr>
                <w:szCs w:val="20"/>
              </w:rPr>
            </w:pPr>
            <w:r w:rsidRPr="00DD681E">
              <w:rPr>
                <w:szCs w:val="20"/>
              </w:rPr>
              <w:t>Una dintre priorităţile strategice dintr-un program operaţional; cuprinde un grup de operaţiuni prioritati de investitii legate între ele şi având obiective specifice măsurabile.</w:t>
            </w:r>
          </w:p>
        </w:tc>
      </w:tr>
      <w:tr w:rsidR="00EC3D5B" w:rsidRPr="00DD681E" w14:paraId="4B648CD8" w14:textId="77777777"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277E90E2" w14:textId="77777777" w:rsidR="00EC3D5B" w:rsidRPr="0097090D" w:rsidRDefault="00EC3D5B" w:rsidP="002849B3">
            <w:pPr>
              <w:spacing w:before="0" w:after="0"/>
              <w:ind w:left="170" w:right="170"/>
              <w:jc w:val="both"/>
              <w:rPr>
                <w:szCs w:val="20"/>
              </w:rPr>
            </w:pPr>
            <w:r w:rsidRPr="0097090D">
              <w:rPr>
                <w:szCs w:val="20"/>
              </w:rPr>
              <w:t xml:space="preserve">Beneficiar </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14:paraId="3D88FD27" w14:textId="2EA80C5E" w:rsidR="00EC3D5B" w:rsidRPr="0097090D" w:rsidRDefault="00664199" w:rsidP="002849B3">
            <w:pPr>
              <w:spacing w:before="0" w:after="0"/>
              <w:ind w:left="170" w:right="170"/>
              <w:jc w:val="both"/>
              <w:rPr>
                <w:szCs w:val="20"/>
              </w:rPr>
            </w:pPr>
            <w:r w:rsidRPr="0097090D">
              <w:rPr>
                <w:bCs/>
                <w:szCs w:val="20"/>
              </w:rPr>
              <w:t>Persoana juridică sau asociere/parteneriat de persoane juridice care beneficiază de asistenţa financiară nerambursabilă în cadrul Programul Operaţional Regional şi cu care AMPOR şi Organismul Intermediar, încheie contractul de finanţare.</w:t>
            </w:r>
          </w:p>
        </w:tc>
      </w:tr>
      <w:tr w:rsidR="00EC3D5B" w:rsidRPr="00DD681E" w14:paraId="538C9C51" w14:textId="77777777"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6B7C25D7" w14:textId="77777777" w:rsidR="00EC3D5B" w:rsidRPr="00DD681E" w:rsidRDefault="00EC3D5B" w:rsidP="002849B3">
            <w:pPr>
              <w:spacing w:before="0" w:after="0"/>
              <w:ind w:left="170" w:right="170"/>
              <w:jc w:val="both"/>
              <w:rPr>
                <w:szCs w:val="20"/>
              </w:rPr>
            </w:pPr>
            <w:r w:rsidRPr="00DD681E">
              <w:rPr>
                <w:szCs w:val="20"/>
              </w:rPr>
              <w:t>Cerere de finanţare</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14:paraId="14C48E1D" w14:textId="77777777" w:rsidR="00EC3D5B" w:rsidRPr="00DD681E" w:rsidRDefault="00EC3D5B" w:rsidP="002849B3">
            <w:pPr>
              <w:spacing w:before="0" w:after="0"/>
              <w:ind w:left="170" w:right="170"/>
              <w:jc w:val="both"/>
              <w:rPr>
                <w:szCs w:val="20"/>
              </w:rPr>
            </w:pPr>
            <w:r w:rsidRPr="00DD681E">
              <w:rPr>
                <w:szCs w:val="20"/>
              </w:rPr>
              <w:t>Formularul completat de către solicitant, pentru fiecare proiect individual, în vederea obţinerii finanţării prin Programul Operaţional Regional pentru proiectul respectiv.</w:t>
            </w:r>
            <w:r w:rsidR="00501EA1" w:rsidRPr="00DD681E">
              <w:t xml:space="preserve"> </w:t>
            </w:r>
            <w:r w:rsidR="00501EA1" w:rsidRPr="00DD681E">
              <w:rPr>
                <w:szCs w:val="20"/>
              </w:rPr>
              <w:t>Cererea de Finantare va fi depusa cu anexele mentionate in ghidurile specifice.</w:t>
            </w:r>
          </w:p>
        </w:tc>
      </w:tr>
      <w:tr w:rsidR="00EC3D5B" w:rsidRPr="00DD681E" w14:paraId="084FEE41" w14:textId="77777777"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5455A897" w14:textId="77777777" w:rsidR="00EC3D5B" w:rsidRPr="00DD681E" w:rsidRDefault="00EC3D5B" w:rsidP="002849B3">
            <w:pPr>
              <w:spacing w:before="0" w:after="0"/>
              <w:ind w:left="170" w:right="170"/>
              <w:jc w:val="both"/>
              <w:rPr>
                <w:szCs w:val="20"/>
              </w:rPr>
            </w:pPr>
            <w:r w:rsidRPr="00DD681E">
              <w:rPr>
                <w:szCs w:val="20"/>
              </w:rPr>
              <w:t>Cerere de proiecte</w:t>
            </w:r>
            <w:r w:rsidR="002F19EA" w:rsidRPr="00DD681E">
              <w:rPr>
                <w:szCs w:val="20"/>
              </w:rPr>
              <w:t xml:space="preserve">/ Apel de proiecte </w:t>
            </w:r>
            <w:r w:rsidRPr="00DD681E">
              <w:rPr>
                <w:szCs w:val="20"/>
              </w:rPr>
              <w:t>cu termen limită de depunere</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14:paraId="75318889" w14:textId="77777777" w:rsidR="00EC3D5B" w:rsidRPr="00DD681E" w:rsidRDefault="00EC3D5B" w:rsidP="002849B3">
            <w:pPr>
              <w:spacing w:before="0" w:after="0"/>
              <w:ind w:left="170" w:right="170"/>
              <w:jc w:val="both"/>
              <w:rPr>
                <w:szCs w:val="20"/>
              </w:rPr>
            </w:pPr>
            <w:r w:rsidRPr="00DD681E">
              <w:rPr>
                <w:bCs/>
                <w:szCs w:val="20"/>
              </w:rPr>
              <w:t xml:space="preserve">Invitaţie publică adresată de către Autoritatea de Management / Organismul intermediar pentru POR unei categorii clar identificate de potenţiali solicitanţi, în vederea depunerii, într-o perioadă de timp specificată, a cererilor de finanţare pentru proiecte, în cadrul </w:t>
            </w:r>
            <w:r w:rsidR="002F19EA" w:rsidRPr="00DD681E">
              <w:rPr>
                <w:bCs/>
                <w:szCs w:val="20"/>
              </w:rPr>
              <w:t>unei</w:t>
            </w:r>
            <w:r w:rsidR="00FF22E7">
              <w:rPr>
                <w:bCs/>
                <w:szCs w:val="20"/>
              </w:rPr>
              <w:t xml:space="preserve"> </w:t>
            </w:r>
            <w:r w:rsidR="002F19EA" w:rsidRPr="00DD681E">
              <w:rPr>
                <w:bCs/>
                <w:szCs w:val="20"/>
              </w:rPr>
              <w:t>priorități de investiții/axe prioritare</w:t>
            </w:r>
            <w:r w:rsidRPr="00DD681E">
              <w:rPr>
                <w:bCs/>
                <w:szCs w:val="20"/>
              </w:rPr>
              <w:t xml:space="preserve"> din Programul Operaţional Regional 20</w:t>
            </w:r>
            <w:r w:rsidR="002F19EA" w:rsidRPr="00DD681E">
              <w:rPr>
                <w:bCs/>
                <w:szCs w:val="20"/>
              </w:rPr>
              <w:t>14</w:t>
            </w:r>
            <w:r w:rsidRPr="00DD681E">
              <w:rPr>
                <w:bCs/>
                <w:szCs w:val="20"/>
              </w:rPr>
              <w:t xml:space="preserve"> - 20</w:t>
            </w:r>
            <w:r w:rsidR="002F19EA" w:rsidRPr="00DD681E">
              <w:rPr>
                <w:bCs/>
                <w:szCs w:val="20"/>
              </w:rPr>
              <w:t>20</w:t>
            </w:r>
            <w:r w:rsidRPr="00DD681E">
              <w:rPr>
                <w:szCs w:val="20"/>
              </w:rPr>
              <w:t>.</w:t>
            </w:r>
          </w:p>
        </w:tc>
      </w:tr>
      <w:tr w:rsidR="00EC3D5B" w:rsidRPr="00DD681E" w14:paraId="7332CB74" w14:textId="77777777"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7D73D81A" w14:textId="77777777" w:rsidR="00EC3D5B" w:rsidRPr="00DD681E" w:rsidRDefault="00EC3D5B" w:rsidP="002849B3">
            <w:pPr>
              <w:spacing w:before="0" w:after="0"/>
              <w:ind w:left="170" w:right="170"/>
              <w:jc w:val="both"/>
              <w:rPr>
                <w:szCs w:val="20"/>
              </w:rPr>
            </w:pPr>
            <w:r w:rsidRPr="00DD681E">
              <w:rPr>
                <w:szCs w:val="20"/>
              </w:rPr>
              <w:t>Comitet de Monitorizare pentru POR (CMPOR)</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14:paraId="603648E4" w14:textId="5E10DE08" w:rsidR="00B856FB" w:rsidRPr="00DD681E" w:rsidRDefault="00EC3D5B" w:rsidP="002849B3">
            <w:pPr>
              <w:spacing w:before="0" w:after="0"/>
              <w:ind w:left="170" w:right="170"/>
              <w:jc w:val="both"/>
              <w:rPr>
                <w:szCs w:val="20"/>
              </w:rPr>
            </w:pPr>
            <w:r w:rsidRPr="00DD681E">
              <w:rPr>
                <w:szCs w:val="20"/>
              </w:rPr>
              <w:t>Structură naţională de tip partenerial fără personalitate juridică, cu rol decizional şi strategic în procesul de implementare a Programului operaţional regional 20</w:t>
            </w:r>
            <w:r w:rsidR="00B856FB" w:rsidRPr="00DD681E">
              <w:rPr>
                <w:szCs w:val="20"/>
              </w:rPr>
              <w:t>14</w:t>
            </w:r>
            <w:r w:rsidRPr="00DD681E">
              <w:rPr>
                <w:szCs w:val="20"/>
              </w:rPr>
              <w:t>-20</w:t>
            </w:r>
            <w:r w:rsidR="00B856FB" w:rsidRPr="00DD681E">
              <w:rPr>
                <w:szCs w:val="20"/>
              </w:rPr>
              <w:t>20</w:t>
            </w:r>
            <w:r w:rsidRPr="00DD681E">
              <w:rPr>
                <w:szCs w:val="20"/>
              </w:rPr>
              <w:t xml:space="preserve">. CMPOR are rolul de a asigura eficacitatea şi calitatea implementării programului. CMPOR se organizează </w:t>
            </w:r>
            <w:r w:rsidR="00A757CA">
              <w:rPr>
                <w:szCs w:val="20"/>
              </w:rPr>
              <w:t>în conformitate cu</w:t>
            </w:r>
            <w:r w:rsidRPr="00DD681E">
              <w:rPr>
                <w:szCs w:val="20"/>
              </w:rPr>
              <w:t xml:space="preserve"> Regulamentului cadru de organizare şi funcţionare al acestuia </w:t>
            </w:r>
          </w:p>
          <w:p w14:paraId="1D973EF4" w14:textId="77777777" w:rsidR="00B856FB" w:rsidRPr="00DD681E" w:rsidRDefault="00B856FB" w:rsidP="002849B3">
            <w:pPr>
              <w:spacing w:before="0" w:after="0"/>
              <w:ind w:left="170" w:right="170"/>
              <w:jc w:val="both"/>
              <w:rPr>
                <w:szCs w:val="20"/>
              </w:rPr>
            </w:pPr>
          </w:p>
          <w:p w14:paraId="4E56CE3D" w14:textId="77777777" w:rsidR="00B856FB" w:rsidRPr="00DD681E" w:rsidRDefault="00EC3D5B" w:rsidP="002849B3">
            <w:pPr>
              <w:spacing w:before="0" w:after="0"/>
              <w:ind w:left="170" w:right="170"/>
              <w:jc w:val="both"/>
              <w:rPr>
                <w:szCs w:val="20"/>
              </w:rPr>
            </w:pPr>
            <w:r w:rsidRPr="00DD681E">
              <w:rPr>
                <w:szCs w:val="20"/>
              </w:rPr>
              <w:t xml:space="preserve">Procesele verbale ale şedinţelor CMPOR şi Hotărârile CMPOR pot fi consultate pe website-ul POR, </w:t>
            </w:r>
            <w:hyperlink r:id="rId9" w:history="1">
              <w:r w:rsidRPr="00DD681E">
                <w:rPr>
                  <w:rStyle w:val="Hyperlink"/>
                  <w:szCs w:val="20"/>
                </w:rPr>
                <w:t>http://www.inforegio.ro</w:t>
              </w:r>
            </w:hyperlink>
            <w:r w:rsidRPr="00DD681E">
              <w:rPr>
                <w:szCs w:val="20"/>
              </w:rPr>
              <w:t xml:space="preserve"> </w:t>
            </w:r>
          </w:p>
        </w:tc>
      </w:tr>
      <w:tr w:rsidR="00750070" w:rsidRPr="00DD681E" w14:paraId="0FCFA890" w14:textId="77777777" w:rsidTr="007178DD">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7EB42469" w14:textId="77777777" w:rsidR="00750070" w:rsidRPr="00DD681E" w:rsidRDefault="00750070" w:rsidP="002849B3">
            <w:pPr>
              <w:spacing w:before="0" w:after="0"/>
              <w:ind w:left="170" w:right="170"/>
              <w:jc w:val="both"/>
              <w:rPr>
                <w:szCs w:val="20"/>
              </w:rPr>
            </w:pPr>
            <w:r w:rsidRPr="00DD681E">
              <w:rPr>
                <w:szCs w:val="20"/>
              </w:rPr>
              <w:t>Contract de finanţare</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14:paraId="5FE5D956" w14:textId="3A13B0E3" w:rsidR="00750070" w:rsidRPr="00DD681E" w:rsidRDefault="00750070" w:rsidP="002849B3">
            <w:pPr>
              <w:spacing w:before="0" w:after="0"/>
              <w:ind w:left="170" w:right="170"/>
              <w:jc w:val="both"/>
              <w:rPr>
                <w:szCs w:val="20"/>
              </w:rPr>
            </w:pPr>
            <w:r w:rsidRPr="00DD681E">
              <w:rPr>
                <w:szCs w:val="20"/>
              </w:rPr>
              <w:t>Actul juridic cu titlu oneros, încheiat între Autoritatea de management,</w:t>
            </w:r>
            <w:r w:rsidR="00CF33DC">
              <w:rPr>
                <w:szCs w:val="20"/>
              </w:rPr>
              <w:t xml:space="preserve"> Organismul intermediar</w:t>
            </w:r>
            <w:r w:rsidRPr="00DD681E">
              <w:rPr>
                <w:szCs w:val="20"/>
              </w:rPr>
              <w:t xml:space="preserve"> şi beneficiar, prin care se aprobă spre finanţare, în cadrul Programului Operaţional Regional, un proiect inclus ce a fost selectat în urma procesului de evaluare și selecție, în anumite condiţii.</w:t>
            </w:r>
          </w:p>
        </w:tc>
      </w:tr>
      <w:tr w:rsidR="00CA528C" w:rsidRPr="00DD681E" w14:paraId="1438ACE3" w14:textId="77777777" w:rsidTr="007178DD">
        <w:tc>
          <w:tcPr>
            <w:tcW w:w="2230" w:type="dxa"/>
            <w:tcBorders>
              <w:top w:val="single" w:sz="4" w:space="0" w:color="333333"/>
              <w:left w:val="nil"/>
              <w:bottom w:val="single" w:sz="4" w:space="0" w:color="333333"/>
              <w:right w:val="nil"/>
            </w:tcBorders>
            <w:tcMar>
              <w:top w:w="16" w:type="dxa"/>
              <w:left w:w="16" w:type="dxa"/>
              <w:bottom w:w="0" w:type="dxa"/>
              <w:right w:w="16" w:type="dxa"/>
            </w:tcMar>
          </w:tcPr>
          <w:p w14:paraId="47C057F5" w14:textId="2408783E" w:rsidR="00CA528C" w:rsidRPr="00DD681E" w:rsidRDefault="00CA528C" w:rsidP="002849B3">
            <w:pPr>
              <w:spacing w:before="0" w:after="0"/>
              <w:ind w:left="170" w:right="170"/>
              <w:jc w:val="both"/>
              <w:rPr>
                <w:szCs w:val="20"/>
              </w:rPr>
            </w:pPr>
            <w:r w:rsidRPr="00310C0A">
              <w:t>Documentul justificativ pentru finanțarea intervențiilor din FESI 2014-2020</w:t>
            </w:r>
          </w:p>
        </w:tc>
        <w:tc>
          <w:tcPr>
            <w:tcW w:w="7425" w:type="dxa"/>
            <w:tcBorders>
              <w:top w:val="single" w:sz="4" w:space="0" w:color="333333"/>
              <w:left w:val="nil"/>
              <w:bottom w:val="single" w:sz="4" w:space="0" w:color="333333"/>
              <w:right w:val="nil"/>
            </w:tcBorders>
            <w:tcMar>
              <w:top w:w="16" w:type="dxa"/>
              <w:left w:w="16" w:type="dxa"/>
              <w:bottom w:w="0" w:type="dxa"/>
              <w:right w:w="16" w:type="dxa"/>
            </w:tcMar>
          </w:tcPr>
          <w:p w14:paraId="38FB1A9C" w14:textId="73F9A043" w:rsidR="00CA528C" w:rsidRPr="00DD681E" w:rsidRDefault="00CA528C" w:rsidP="002849B3">
            <w:pPr>
              <w:spacing w:before="0" w:after="0"/>
              <w:ind w:left="170" w:right="170"/>
              <w:jc w:val="both"/>
              <w:rPr>
                <w:szCs w:val="20"/>
              </w:rPr>
            </w:pPr>
            <w:r w:rsidRPr="00310C0A">
              <w:t>Reprezintă documentul întocmit la nivelul Autorității urbane, ce cuprinde proiectele selectate şi propuse pentru finanțare în perioada de programare 2014-2020 pentru zonele urbane aferente celor 39 de municipii reședință de județ eligibile în cadrul Axei prioritare 4 a POR 2014-2020.</w:t>
            </w:r>
          </w:p>
        </w:tc>
      </w:tr>
      <w:tr w:rsidR="00750070" w:rsidRPr="00DD681E" w14:paraId="10187AD8" w14:textId="77777777" w:rsidTr="007178DD">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2C825A81" w14:textId="77777777" w:rsidR="00750070" w:rsidRPr="00DD681E" w:rsidRDefault="00750070" w:rsidP="002849B3">
            <w:pPr>
              <w:spacing w:before="0" w:after="0"/>
              <w:ind w:left="170" w:right="170"/>
              <w:jc w:val="both"/>
              <w:rPr>
                <w:szCs w:val="20"/>
              </w:rPr>
            </w:pPr>
            <w:r w:rsidRPr="00DD681E">
              <w:rPr>
                <w:szCs w:val="20"/>
              </w:rPr>
              <w:t>Departamentul pentru Lupta Anti-Fraudă (DLAF)</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14:paraId="1FD6D790" w14:textId="77777777" w:rsidR="00750070" w:rsidRPr="00DD681E" w:rsidRDefault="00750070" w:rsidP="002849B3">
            <w:pPr>
              <w:spacing w:before="0" w:after="0"/>
              <w:ind w:left="170" w:right="170"/>
              <w:jc w:val="both"/>
              <w:rPr>
                <w:rStyle w:val="rvts5"/>
                <w:szCs w:val="20"/>
                <w:lang w:val="en-US"/>
              </w:rPr>
            </w:pPr>
            <w:r w:rsidRPr="00DD681E">
              <w:rPr>
                <w:rStyle w:val="rvts6"/>
                <w:szCs w:val="20"/>
              </w:rPr>
              <w:t>Instituţia naţională de contact cu Oficiul European de Luptă Antifraudă – OLAF, constituită în cadrul aparatului de lucru al Guvernului României, care acţionează pe bază de autonomie funcţională şi decizională, independent de alte instituţii publice, în vederea asigurării, sprijinirii sau coordonării, după caz, a îndeplinirii obligaţiilor ce revin României privind protecţia intereselor financiare ale Comunităţii Europene, având atribuţia de control al obţinerii, derulării sau utilizării fondurilor comunitare, precum şi a fondurilor de cofinanţare aferente.</w:t>
            </w:r>
          </w:p>
        </w:tc>
      </w:tr>
      <w:tr w:rsidR="00B010B4" w:rsidRPr="00DD681E" w14:paraId="3A738F43" w14:textId="77777777" w:rsidTr="007178DD">
        <w:tc>
          <w:tcPr>
            <w:tcW w:w="2230" w:type="dxa"/>
            <w:tcBorders>
              <w:top w:val="single" w:sz="4" w:space="0" w:color="333333"/>
              <w:left w:val="nil"/>
              <w:bottom w:val="single" w:sz="4" w:space="0" w:color="333333"/>
              <w:right w:val="nil"/>
            </w:tcBorders>
            <w:tcMar>
              <w:top w:w="16" w:type="dxa"/>
              <w:left w:w="16" w:type="dxa"/>
              <w:bottom w:w="0" w:type="dxa"/>
              <w:right w:w="16" w:type="dxa"/>
            </w:tcMar>
          </w:tcPr>
          <w:p w14:paraId="162D678B" w14:textId="77777777" w:rsidR="00B010B4" w:rsidRPr="00DD681E" w:rsidRDefault="00B010B4" w:rsidP="002849B3">
            <w:pPr>
              <w:spacing w:before="0" w:after="0"/>
              <w:ind w:left="170" w:right="170"/>
              <w:jc w:val="both"/>
              <w:rPr>
                <w:szCs w:val="20"/>
              </w:rPr>
            </w:pPr>
            <w:r w:rsidRPr="00DD681E">
              <w:rPr>
                <w:szCs w:val="20"/>
              </w:rPr>
              <w:t>Entități care furnizează activități de transfer tehnologic</w:t>
            </w:r>
          </w:p>
        </w:tc>
        <w:tc>
          <w:tcPr>
            <w:tcW w:w="7425" w:type="dxa"/>
            <w:tcBorders>
              <w:top w:val="single" w:sz="4" w:space="0" w:color="333333"/>
              <w:left w:val="nil"/>
              <w:bottom w:val="single" w:sz="4" w:space="0" w:color="333333"/>
              <w:right w:val="nil"/>
            </w:tcBorders>
            <w:tcMar>
              <w:top w:w="16" w:type="dxa"/>
              <w:left w:w="16" w:type="dxa"/>
              <w:bottom w:w="0" w:type="dxa"/>
              <w:right w:w="16" w:type="dxa"/>
            </w:tcMar>
          </w:tcPr>
          <w:p w14:paraId="66EA0660" w14:textId="77777777" w:rsidR="00B010B4" w:rsidRPr="00DD681E" w:rsidRDefault="00B010B4" w:rsidP="002849B3">
            <w:pPr>
              <w:spacing w:before="0" w:after="0"/>
              <w:ind w:left="170" w:right="170"/>
              <w:jc w:val="both"/>
              <w:rPr>
                <w:rStyle w:val="rvts5"/>
                <w:rFonts w:cs="Tahoma"/>
              </w:rPr>
            </w:pPr>
            <w:r w:rsidRPr="00DD681E">
              <w:rPr>
                <w:rStyle w:val="rvts5"/>
                <w:rFonts w:cs="Tahoma"/>
                <w:szCs w:val="20"/>
              </w:rPr>
              <w:t>incubatoare tehnologice şi de afaceri  ITA,  centre de transfer tehnologic – CTT, centre de informare tehnologică CIT, oficii de legătură cu industria – OLI, etc</w:t>
            </w:r>
          </w:p>
          <w:p w14:paraId="3B038AA2" w14:textId="77777777" w:rsidR="00B010B4" w:rsidRPr="00DD681E" w:rsidRDefault="00B010B4" w:rsidP="002849B3">
            <w:pPr>
              <w:spacing w:before="0" w:after="0"/>
              <w:ind w:left="170" w:right="170"/>
              <w:jc w:val="both"/>
              <w:rPr>
                <w:rStyle w:val="rvts5"/>
                <w:rFonts w:cs="Tahoma"/>
                <w:szCs w:val="20"/>
              </w:rPr>
            </w:pPr>
            <w:r w:rsidRPr="00DD681E">
              <w:rPr>
                <w:rStyle w:val="rvts5"/>
                <w:rFonts w:cs="Tahoma"/>
                <w:szCs w:val="20"/>
              </w:rPr>
              <w:t xml:space="preserve">ITA reprezintă o entitate din infrastructură a cărei activitate este orientată în principal către facilitarea iniţierii şi dezvoltării de noi întreprinderi inovative bazate pe tehnologie avansată. </w:t>
            </w:r>
          </w:p>
          <w:p w14:paraId="11EA4910" w14:textId="77777777" w:rsidR="00B010B4" w:rsidRPr="00DD681E" w:rsidRDefault="00B010B4" w:rsidP="002849B3">
            <w:pPr>
              <w:spacing w:before="0" w:after="0"/>
              <w:ind w:left="170" w:right="170"/>
              <w:jc w:val="both"/>
              <w:rPr>
                <w:rStyle w:val="rvts5"/>
                <w:rFonts w:cs="Tahoma"/>
                <w:szCs w:val="20"/>
              </w:rPr>
            </w:pPr>
          </w:p>
          <w:p w14:paraId="6401A6FA" w14:textId="77777777" w:rsidR="00B010B4" w:rsidRPr="00DD681E" w:rsidRDefault="00B010B4" w:rsidP="002849B3">
            <w:pPr>
              <w:spacing w:before="0" w:after="0"/>
              <w:ind w:left="170" w:right="170"/>
              <w:jc w:val="both"/>
              <w:rPr>
                <w:rStyle w:val="rvts5"/>
                <w:rFonts w:cs="Tahoma"/>
                <w:szCs w:val="20"/>
              </w:rPr>
            </w:pPr>
            <w:r w:rsidRPr="00DD681E">
              <w:rPr>
                <w:rStyle w:val="rvts5"/>
                <w:rFonts w:cs="Tahoma"/>
                <w:szCs w:val="20"/>
              </w:rPr>
              <w:t xml:space="preserve">CTT este o entitate din infrastructură a cărei activitate constă în stimularea inovării şi transferului tehnologic în scopul introducerii în circuitul economic a </w:t>
            </w:r>
            <w:r w:rsidRPr="00DD681E">
              <w:rPr>
                <w:rStyle w:val="rvts5"/>
                <w:rFonts w:cs="Tahoma"/>
                <w:szCs w:val="20"/>
              </w:rPr>
              <w:lastRenderedPageBreak/>
              <w:t xml:space="preserve">rezultatelor cercetării, transformate în produse, procese şi servicii noi sau îmbunătăţite. </w:t>
            </w:r>
          </w:p>
          <w:p w14:paraId="2E6FBF8E" w14:textId="77777777" w:rsidR="00B010B4" w:rsidRPr="00DD681E" w:rsidRDefault="00B010B4" w:rsidP="002849B3">
            <w:pPr>
              <w:spacing w:before="0" w:after="0"/>
              <w:ind w:left="170" w:right="170"/>
              <w:jc w:val="both"/>
              <w:rPr>
                <w:rStyle w:val="rvts5"/>
                <w:rFonts w:cs="Tahoma"/>
                <w:szCs w:val="20"/>
              </w:rPr>
            </w:pPr>
          </w:p>
          <w:p w14:paraId="1014724C" w14:textId="77777777" w:rsidR="00B010B4" w:rsidRPr="00DD681E" w:rsidRDefault="00B010B4" w:rsidP="002849B3">
            <w:pPr>
              <w:spacing w:before="0" w:after="0"/>
              <w:ind w:left="170" w:right="170"/>
              <w:jc w:val="both"/>
              <w:rPr>
                <w:rStyle w:val="rvts5"/>
                <w:rFonts w:cs="Tahoma"/>
                <w:szCs w:val="20"/>
              </w:rPr>
            </w:pPr>
            <w:r w:rsidRPr="00DD681E">
              <w:rPr>
                <w:rStyle w:val="rvts5"/>
                <w:rFonts w:cs="Tahoma"/>
                <w:szCs w:val="20"/>
              </w:rPr>
              <w:t>CIT reprezintă o entitate din infrastructură care desfăşoară activităţi de diseminare a informaţiilor referitoare la rezultatele cercetării-dezvoltării, documentare tehnologică şi instruire a agenţilor economici, în scopul stimulării valorificării rezultatelor, creării şi dezvoltării comportamentului inovativ al mediului socioeconomic.</w:t>
            </w:r>
          </w:p>
          <w:p w14:paraId="7B717A90" w14:textId="77777777" w:rsidR="00B010B4" w:rsidRPr="00DD681E" w:rsidRDefault="00B010B4" w:rsidP="002849B3">
            <w:pPr>
              <w:spacing w:before="0" w:after="0"/>
              <w:ind w:left="170" w:right="170"/>
              <w:jc w:val="both"/>
              <w:rPr>
                <w:rStyle w:val="rvts5"/>
                <w:rFonts w:cs="Tahoma"/>
                <w:szCs w:val="20"/>
              </w:rPr>
            </w:pPr>
          </w:p>
          <w:p w14:paraId="4B77E5EA" w14:textId="77777777" w:rsidR="00B010B4" w:rsidRPr="00DD681E" w:rsidRDefault="00B010B4" w:rsidP="002849B3">
            <w:pPr>
              <w:spacing w:before="0" w:after="0"/>
              <w:ind w:left="170" w:right="170"/>
              <w:jc w:val="both"/>
              <w:rPr>
                <w:rStyle w:val="rvts5"/>
                <w:rFonts w:cs="Tahoma"/>
                <w:szCs w:val="20"/>
              </w:rPr>
            </w:pPr>
            <w:r w:rsidRPr="00DD681E">
              <w:rPr>
                <w:rStyle w:val="rvts5"/>
                <w:rFonts w:cs="Tahoma"/>
                <w:szCs w:val="20"/>
              </w:rPr>
              <w:t xml:space="preserve"> OLI, asimilate ca şi centre de competenţă, este o entitate din infrastructură al cărei obiect de activitate constă în stabilirea, menţinerea şi extinderea legăturilor dintre furnizorii rezultatelor cercetării-dezvoltării şi mediul socioeconomic/agenţii economici, în scopul facilitării transferului tehnologic.</w:t>
            </w:r>
          </w:p>
          <w:p w14:paraId="51BC28BC" w14:textId="77777777" w:rsidR="00B010B4" w:rsidRPr="00DD681E" w:rsidRDefault="00B010B4" w:rsidP="002849B3">
            <w:pPr>
              <w:spacing w:before="0" w:after="0"/>
              <w:ind w:right="170"/>
              <w:jc w:val="both"/>
              <w:rPr>
                <w:rStyle w:val="rvts5"/>
                <w:rFonts w:cs="Tahoma"/>
                <w:szCs w:val="20"/>
              </w:rPr>
            </w:pPr>
          </w:p>
        </w:tc>
      </w:tr>
      <w:tr w:rsidR="00277725" w:rsidRPr="00DD681E" w14:paraId="3DCC0D53" w14:textId="77777777" w:rsidTr="007178DD">
        <w:tc>
          <w:tcPr>
            <w:tcW w:w="2230" w:type="dxa"/>
            <w:tcBorders>
              <w:top w:val="single" w:sz="4" w:space="0" w:color="333333"/>
              <w:left w:val="nil"/>
              <w:bottom w:val="single" w:sz="4" w:space="0" w:color="333333"/>
              <w:right w:val="nil"/>
            </w:tcBorders>
            <w:tcMar>
              <w:top w:w="16" w:type="dxa"/>
              <w:left w:w="16" w:type="dxa"/>
              <w:bottom w:w="0" w:type="dxa"/>
              <w:right w:w="16" w:type="dxa"/>
            </w:tcMar>
          </w:tcPr>
          <w:p w14:paraId="7E4BC471" w14:textId="77777777" w:rsidR="00277725" w:rsidRPr="00DD681E" w:rsidRDefault="00277725" w:rsidP="002849B3">
            <w:pPr>
              <w:spacing w:before="0" w:after="0"/>
              <w:ind w:left="170" w:right="170"/>
              <w:jc w:val="both"/>
              <w:rPr>
                <w:szCs w:val="20"/>
              </w:rPr>
            </w:pPr>
            <w:r w:rsidRPr="00DD681E">
              <w:rPr>
                <w:szCs w:val="20"/>
              </w:rPr>
              <w:lastRenderedPageBreak/>
              <w:t>Grup de acțiune locală</w:t>
            </w:r>
          </w:p>
        </w:tc>
        <w:tc>
          <w:tcPr>
            <w:tcW w:w="7425" w:type="dxa"/>
            <w:tcBorders>
              <w:top w:val="single" w:sz="4" w:space="0" w:color="333333"/>
              <w:left w:val="nil"/>
              <w:bottom w:val="single" w:sz="4" w:space="0" w:color="333333"/>
              <w:right w:val="nil"/>
            </w:tcBorders>
            <w:tcMar>
              <w:top w:w="16" w:type="dxa"/>
              <w:left w:w="16" w:type="dxa"/>
              <w:bottom w:w="0" w:type="dxa"/>
              <w:right w:w="16" w:type="dxa"/>
            </w:tcMar>
          </w:tcPr>
          <w:p w14:paraId="3BBC31B7" w14:textId="77777777" w:rsidR="00277725" w:rsidRPr="00DD681E" w:rsidRDefault="00277725" w:rsidP="002849B3">
            <w:pPr>
              <w:spacing w:before="0" w:after="0"/>
              <w:jc w:val="both"/>
              <w:rPr>
                <w:rStyle w:val="rvts5"/>
                <w:szCs w:val="20"/>
              </w:rPr>
            </w:pPr>
            <w:r w:rsidRPr="00DD681E">
              <w:rPr>
                <w:noProof/>
                <w:szCs w:val="20"/>
              </w:rPr>
              <w:t>Structură partenerială formată din reprezentanți ai intereselor socio-economice locale ale sectoarelor public și privat, precum antreprenorii și asociațiile acestora, autorități locale, asociații de cartier sau asociații rurale, grupuri de cetățeni (minorități, cetățeni vârstnici, femei/bărbați, tineri, antreprenori, etc.), organizații comunitare și voluntare, etc. În procesul decizional de selecţie, cel puţin 50% din drepturile de vot trebuie să le revină partenerilor din sectorul privat şi niciun grup de interese nu trebuie să deţină singur mai mult de 49% din drepturile de vot.</w:t>
            </w:r>
          </w:p>
        </w:tc>
      </w:tr>
      <w:tr w:rsidR="005D6441" w:rsidRPr="00DD681E" w14:paraId="36FE9BFB" w14:textId="77777777" w:rsidTr="007178DD">
        <w:tc>
          <w:tcPr>
            <w:tcW w:w="2230" w:type="dxa"/>
            <w:tcBorders>
              <w:top w:val="single" w:sz="4" w:space="0" w:color="333333"/>
              <w:left w:val="nil"/>
              <w:bottom w:val="single" w:sz="4" w:space="0" w:color="333333"/>
              <w:right w:val="nil"/>
            </w:tcBorders>
            <w:tcMar>
              <w:top w:w="16" w:type="dxa"/>
              <w:left w:w="16" w:type="dxa"/>
              <w:bottom w:w="0" w:type="dxa"/>
              <w:right w:w="16" w:type="dxa"/>
            </w:tcMar>
          </w:tcPr>
          <w:p w14:paraId="58280CCE" w14:textId="77777777" w:rsidR="005D6441" w:rsidRPr="00DD681E" w:rsidRDefault="005D6441" w:rsidP="002849B3">
            <w:pPr>
              <w:spacing w:before="0" w:after="0"/>
              <w:ind w:left="170" w:right="170"/>
              <w:jc w:val="both"/>
              <w:rPr>
                <w:szCs w:val="20"/>
              </w:rPr>
            </w:pPr>
            <w:r w:rsidRPr="00DD681E">
              <w:rPr>
                <w:szCs w:val="20"/>
              </w:rPr>
              <w:t>Incubator de afaceri</w:t>
            </w:r>
          </w:p>
        </w:tc>
        <w:tc>
          <w:tcPr>
            <w:tcW w:w="7425" w:type="dxa"/>
            <w:tcBorders>
              <w:top w:val="single" w:sz="4" w:space="0" w:color="333333"/>
              <w:left w:val="nil"/>
              <w:bottom w:val="single" w:sz="4" w:space="0" w:color="333333"/>
              <w:right w:val="nil"/>
            </w:tcBorders>
            <w:tcMar>
              <w:top w:w="16" w:type="dxa"/>
              <w:left w:w="16" w:type="dxa"/>
              <w:bottom w:w="0" w:type="dxa"/>
              <w:right w:w="16" w:type="dxa"/>
            </w:tcMar>
          </w:tcPr>
          <w:p w14:paraId="13802B02" w14:textId="77777777" w:rsidR="005D6441" w:rsidRPr="00DD681E" w:rsidRDefault="005D6441" w:rsidP="002849B3">
            <w:pPr>
              <w:spacing w:before="0" w:after="0"/>
              <w:jc w:val="both"/>
              <w:rPr>
                <w:noProof/>
                <w:szCs w:val="20"/>
              </w:rPr>
            </w:pPr>
            <w:r w:rsidRPr="00DD681E">
              <w:t>Incubatorul de afaceri este o structură partenerială locală sau regională, care urmăreşte crearea unui mediu favorabil, sustenabil, pentru întreprinderile mici şi mjlocii nou înfiinţate şi cele inovative stimulându-le potenţialul de dezvoltare şi de viabilitate, ajutându-le să supravieţuiască şi să crească în perioada de început, atunci când sunt cel mai vulnerabile.</w:t>
            </w:r>
          </w:p>
        </w:tc>
      </w:tr>
      <w:tr w:rsidR="00734990" w:rsidRPr="00DD681E" w14:paraId="3BBE0749" w14:textId="77777777"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tcPr>
          <w:p w14:paraId="60B2C51F" w14:textId="77777777" w:rsidR="00734990" w:rsidRPr="00DD681E" w:rsidRDefault="00734990" w:rsidP="002849B3">
            <w:pPr>
              <w:spacing w:before="0" w:after="0"/>
              <w:ind w:left="170" w:right="170"/>
              <w:jc w:val="both"/>
              <w:rPr>
                <w:szCs w:val="20"/>
              </w:rPr>
            </w:pPr>
            <w:r w:rsidRPr="00DD681E">
              <w:rPr>
                <w:szCs w:val="20"/>
              </w:rPr>
              <w:t>Obiective tematice</w:t>
            </w:r>
          </w:p>
        </w:tc>
        <w:tc>
          <w:tcPr>
            <w:tcW w:w="7425" w:type="dxa"/>
            <w:tcBorders>
              <w:top w:val="single" w:sz="4" w:space="0" w:color="333333"/>
              <w:left w:val="nil"/>
              <w:bottom w:val="single" w:sz="4" w:space="0" w:color="333333"/>
              <w:right w:val="nil"/>
            </w:tcBorders>
            <w:tcMar>
              <w:top w:w="16" w:type="dxa"/>
              <w:left w:w="16" w:type="dxa"/>
              <w:bottom w:w="0" w:type="dxa"/>
              <w:right w:w="16" w:type="dxa"/>
            </w:tcMar>
          </w:tcPr>
          <w:p w14:paraId="45412767" w14:textId="77777777" w:rsidR="007C274F" w:rsidRPr="00DD681E" w:rsidRDefault="007C274F" w:rsidP="002849B3">
            <w:pPr>
              <w:spacing w:before="0" w:after="0"/>
              <w:ind w:left="170" w:right="170"/>
              <w:jc w:val="both"/>
              <w:rPr>
                <w:szCs w:val="20"/>
              </w:rPr>
            </w:pPr>
            <w:r w:rsidRPr="00DD681E">
              <w:rPr>
                <w:szCs w:val="20"/>
              </w:rPr>
              <w:t xml:space="preserve">Articolul 9 din Regulamentul (UE) nr.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definește 11 obiective tematice, cu scopul de a concentra investițiile UE și de a contribui la strategia UE pentru o creștere durabilă și favorabilă incluziunii. Obiectivele tematice sunt transpuse în priorități specifice pentru fiecare din fondurile ESI și sunt stabilite normele specifice fondurilor. Printre obiectivele tematice se numără: </w:t>
            </w:r>
            <w:r w:rsidRPr="00DD681E">
              <w:rPr>
                <w:i/>
                <w:szCs w:val="20"/>
              </w:rPr>
              <w:t>OT 1 - consolidarea cercetării, dezvoltării tehnologice şi a inovării</w:t>
            </w:r>
            <w:r w:rsidR="000F2B1E" w:rsidRPr="00DD681E">
              <w:rPr>
                <w:szCs w:val="20"/>
              </w:rPr>
              <w:t>;</w:t>
            </w:r>
            <w:r w:rsidRPr="00DD681E">
              <w:rPr>
                <w:szCs w:val="20"/>
              </w:rPr>
              <w:t xml:space="preserve"> </w:t>
            </w:r>
            <w:r w:rsidRPr="00DD681E">
              <w:rPr>
                <w:i/>
                <w:szCs w:val="20"/>
              </w:rPr>
              <w:t>OT 3 - îmbunătăţirea competitivităţii întreprinderilor mici şi mijlocii, a sectorului agricol şi a sectorului pescuitului şi acvaculturii</w:t>
            </w:r>
            <w:r w:rsidRPr="00DD681E">
              <w:rPr>
                <w:szCs w:val="20"/>
              </w:rPr>
              <w:t>. În cadrul POR 2014-2020 se regăsesc 9 din cele 11 obiective tematice.</w:t>
            </w:r>
          </w:p>
          <w:p w14:paraId="6F917EE5" w14:textId="77777777" w:rsidR="00734990" w:rsidRPr="00DD681E" w:rsidRDefault="00734990" w:rsidP="002849B3">
            <w:pPr>
              <w:spacing w:before="0" w:after="0"/>
              <w:ind w:left="170" w:right="170"/>
              <w:jc w:val="both"/>
              <w:rPr>
                <w:szCs w:val="20"/>
              </w:rPr>
            </w:pPr>
          </w:p>
        </w:tc>
      </w:tr>
      <w:tr w:rsidR="007C1135" w:rsidRPr="00DD681E" w14:paraId="42523CFA" w14:textId="77777777" w:rsidTr="007178DD">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042A4B2C" w14:textId="77777777" w:rsidR="007C1135" w:rsidRPr="00DD681E" w:rsidRDefault="007C1135" w:rsidP="002849B3">
            <w:pPr>
              <w:spacing w:before="0" w:after="0"/>
              <w:ind w:left="170" w:right="170"/>
              <w:jc w:val="both"/>
              <w:rPr>
                <w:szCs w:val="20"/>
              </w:rPr>
            </w:pPr>
            <w:r w:rsidRPr="00DD681E">
              <w:rPr>
                <w:szCs w:val="20"/>
              </w:rPr>
              <w:t>Oficiul European de Luptă Antifraudă (OLAF)</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14:paraId="65928DAE" w14:textId="77777777" w:rsidR="007C1135" w:rsidRPr="00DD681E" w:rsidRDefault="007C1135" w:rsidP="002849B3">
            <w:pPr>
              <w:spacing w:before="0" w:after="0"/>
              <w:ind w:left="170" w:right="170"/>
              <w:jc w:val="both"/>
              <w:rPr>
                <w:szCs w:val="20"/>
              </w:rPr>
            </w:pPr>
            <w:r w:rsidRPr="00DD681E">
              <w:rPr>
                <w:szCs w:val="20"/>
              </w:rPr>
              <w:t>Structura constituită în cadrul Comisiei Europene, independentă funcţional, care răspunde de protejarea intereselor financiare ale Uniunii Europene.</w:t>
            </w:r>
          </w:p>
        </w:tc>
      </w:tr>
      <w:tr w:rsidR="00EC3D5B" w:rsidRPr="00DD681E" w14:paraId="3970FFE7" w14:textId="77777777"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67FA2AD2" w14:textId="77777777" w:rsidR="00EC3D5B" w:rsidRPr="00DD681E" w:rsidRDefault="00EC3D5B" w:rsidP="002849B3">
            <w:pPr>
              <w:spacing w:before="0" w:after="0"/>
              <w:ind w:left="170" w:right="170"/>
              <w:jc w:val="both"/>
              <w:rPr>
                <w:rFonts w:eastAsia="Arial Unicode MS"/>
                <w:szCs w:val="20"/>
              </w:rPr>
            </w:pPr>
            <w:r w:rsidRPr="00DD681E">
              <w:rPr>
                <w:szCs w:val="20"/>
              </w:rPr>
              <w:t>Organism intermediar pentru Programul Operaţional Regional</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14:paraId="034998A1" w14:textId="77777777" w:rsidR="00EC3D5B" w:rsidRPr="00DD681E" w:rsidRDefault="000A0ADD" w:rsidP="002849B3">
            <w:pPr>
              <w:spacing w:before="0" w:after="0"/>
              <w:ind w:left="170" w:right="170"/>
              <w:jc w:val="both"/>
              <w:rPr>
                <w:rFonts w:eastAsia="Arial Unicode MS"/>
                <w:szCs w:val="20"/>
              </w:rPr>
            </w:pPr>
            <w:r w:rsidRPr="00DD681E">
              <w:rPr>
                <w:rFonts w:eastAsia="Arial Unicode MS"/>
                <w:szCs w:val="20"/>
              </w:rPr>
              <w:t>Reprezintă instituţia desemnată de statul membru care, prin delegare de atribuţii de la Autoritatea de Management, implementează axele prioritare / domeniile de intervenţie prioritati de investitii din Programul Operaţional Regional 2014-2020. În conformitate cu prevederile HG nr.457/2008, au fost desemnate ca organisme intermediare pentru POR cele opt agenţii pentru dezvoltare regională.</w:t>
            </w:r>
          </w:p>
        </w:tc>
      </w:tr>
      <w:tr w:rsidR="00EC3D5B" w:rsidRPr="00DD681E" w14:paraId="27C47714" w14:textId="77777777"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3F16093A" w14:textId="77777777" w:rsidR="00EC3D5B" w:rsidRPr="00DD681E" w:rsidRDefault="001D54B0" w:rsidP="002849B3">
            <w:pPr>
              <w:pStyle w:val="Normal1"/>
              <w:spacing w:before="0" w:after="0"/>
              <w:ind w:left="170" w:right="170"/>
              <w:rPr>
                <w:szCs w:val="20"/>
              </w:rPr>
            </w:pPr>
            <w:r w:rsidRPr="00DD681E">
              <w:rPr>
                <w:szCs w:val="20"/>
              </w:rPr>
              <w:t xml:space="preserve">Zona urbana </w:t>
            </w:r>
            <w:r w:rsidR="00341D09" w:rsidRPr="00DD681E">
              <w:rPr>
                <w:szCs w:val="20"/>
              </w:rPr>
              <w:t>functionala</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14:paraId="4B6CCB6A" w14:textId="77777777" w:rsidR="00EC3D5B" w:rsidRPr="00DD681E" w:rsidRDefault="00341D09" w:rsidP="002849B3">
            <w:pPr>
              <w:pStyle w:val="Normal1"/>
              <w:spacing w:before="0" w:after="0"/>
              <w:ind w:left="170" w:right="170"/>
              <w:rPr>
                <w:szCs w:val="20"/>
              </w:rPr>
            </w:pPr>
            <w:r w:rsidRPr="00DD681E">
              <w:t xml:space="preserve">Zona formată in jurul unui centru urban cu caracter polarizator din punct de vedere socio-economic și localitățile înconjurătoare între care există relatii </w:t>
            </w:r>
            <w:r w:rsidRPr="00DD681E">
              <w:lastRenderedPageBreak/>
              <w:t>economice, demografice, etc. (ex. navetism).</w:t>
            </w:r>
          </w:p>
        </w:tc>
      </w:tr>
      <w:tr w:rsidR="00B856FB" w:rsidRPr="00DD681E" w14:paraId="37BE50C8" w14:textId="77777777" w:rsidTr="00DE7318">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3718FE60" w14:textId="77777777" w:rsidR="00B856FB" w:rsidRPr="00DD681E" w:rsidRDefault="00B856FB" w:rsidP="002849B3">
            <w:pPr>
              <w:spacing w:before="0" w:after="0"/>
              <w:ind w:left="170" w:right="170"/>
              <w:jc w:val="both"/>
              <w:rPr>
                <w:szCs w:val="20"/>
              </w:rPr>
            </w:pPr>
            <w:r w:rsidRPr="00DD681E">
              <w:rPr>
                <w:szCs w:val="20"/>
              </w:rPr>
              <w:lastRenderedPageBreak/>
              <w:t>Prioritate de investiții</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14:paraId="54E386FC" w14:textId="77777777" w:rsidR="00B856FB" w:rsidRPr="00DD681E" w:rsidRDefault="00B856FB" w:rsidP="002849B3">
            <w:pPr>
              <w:spacing w:before="0" w:after="0"/>
              <w:ind w:left="170" w:right="170"/>
              <w:jc w:val="both"/>
              <w:rPr>
                <w:szCs w:val="20"/>
              </w:rPr>
            </w:pPr>
            <w:r w:rsidRPr="00DD681E">
              <w:rPr>
                <w:rStyle w:val="rvts5"/>
                <w:szCs w:val="20"/>
              </w:rPr>
              <w:t>Operaţiunea sau setul de operaţiuni clar identificate în cadrul unei Axe prioritare.</w:t>
            </w:r>
            <w:r w:rsidR="007C274F" w:rsidRPr="00DD681E">
              <w:rPr>
                <w:rStyle w:val="rvts5"/>
                <w:szCs w:val="20"/>
              </w:rPr>
              <w:t xml:space="preserve"> Prioritățile de investiții aferente fiecărui obiectiv tematic finanțat din FEDR sunt detaliate la art. 5 din </w:t>
            </w:r>
            <w:r w:rsidR="00E359D9" w:rsidRPr="00DD681E">
              <w:rPr>
                <w:szCs w:val="20"/>
              </w:rPr>
              <w:t>REGULAMENTUL (UE) NR. 1301/2013 AL PARLAMENTULUI EUROPEAN ȘI AL CONSILIULUI din 17 decembrie 2013 privind Fondul european de dezvoltare regională și dispozițiile specifice aplicabile obiectivului referitor la investițiile pentru creștere economică și locuri de muncă și de abrogare a Regulamentului (CE) nr. 1080/2006.</w:t>
            </w:r>
          </w:p>
        </w:tc>
      </w:tr>
      <w:tr w:rsidR="00EC3D5B" w:rsidRPr="00DD681E" w14:paraId="4BD99B22" w14:textId="77777777"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1B2DDD54" w14:textId="77777777" w:rsidR="00EC3D5B" w:rsidRPr="00DD681E" w:rsidRDefault="00EC3D5B" w:rsidP="002849B3">
            <w:pPr>
              <w:spacing w:before="0" w:after="0"/>
              <w:ind w:left="170" w:right="170"/>
              <w:jc w:val="both"/>
              <w:rPr>
                <w:szCs w:val="20"/>
              </w:rPr>
            </w:pPr>
            <w:r w:rsidRPr="00DD681E">
              <w:rPr>
                <w:szCs w:val="20"/>
              </w:rPr>
              <w:t>Proiect</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14:paraId="49909CBB" w14:textId="77777777" w:rsidR="00EC3D5B" w:rsidRPr="00DD681E" w:rsidRDefault="00EC3D5B" w:rsidP="002849B3">
            <w:pPr>
              <w:spacing w:before="0" w:after="0"/>
              <w:ind w:left="170" w:right="170"/>
              <w:jc w:val="both"/>
              <w:rPr>
                <w:szCs w:val="20"/>
              </w:rPr>
            </w:pPr>
            <w:r w:rsidRPr="00DD681E">
              <w:rPr>
                <w:szCs w:val="20"/>
              </w:rPr>
              <w:t xml:space="preserve">O serie de activităţi economice indivizibile, concepute pentru a produce un rezultat specific într-o perioadă de timp dată şi având obiective clar stabilite, pentru a cărui realizare Beneficiarul primeşte </w:t>
            </w:r>
            <w:r w:rsidRPr="00DD681E">
              <w:rPr>
                <w:rStyle w:val="rvts6"/>
                <w:szCs w:val="20"/>
              </w:rPr>
              <w:t>fonduri nerambursabile, în cadrul Programului Operaţional Regional</w:t>
            </w:r>
          </w:p>
        </w:tc>
      </w:tr>
      <w:tr w:rsidR="00EC3D5B" w:rsidRPr="00DD681E" w14:paraId="66EDE02F" w14:textId="77777777"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76214216" w14:textId="77777777" w:rsidR="00EC3D5B" w:rsidRPr="0097090D" w:rsidRDefault="00EC3D5B" w:rsidP="002849B3">
            <w:pPr>
              <w:pStyle w:val="Normal1"/>
              <w:spacing w:before="0" w:after="0"/>
              <w:ind w:left="170" w:right="170"/>
              <w:rPr>
                <w:rFonts w:eastAsia="Arial Unicode MS" w:cs="Arial"/>
                <w:szCs w:val="20"/>
              </w:rPr>
            </w:pPr>
            <w:r w:rsidRPr="0097090D">
              <w:rPr>
                <w:rFonts w:cs="Arial"/>
                <w:szCs w:val="20"/>
              </w:rPr>
              <w:t>Reprezentant legal al solicitantului</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14:paraId="74F144EB" w14:textId="3C4024A9" w:rsidR="00EC3D5B" w:rsidRPr="0097090D" w:rsidRDefault="00CA0457" w:rsidP="002849B3">
            <w:pPr>
              <w:pStyle w:val="Normal1"/>
              <w:spacing w:before="0" w:after="0"/>
              <w:ind w:left="170" w:right="170"/>
              <w:rPr>
                <w:rFonts w:eastAsia="Arial Unicode MS" w:cs="Arial"/>
                <w:szCs w:val="20"/>
              </w:rPr>
            </w:pPr>
            <w:r w:rsidRPr="0097090D">
              <w:rPr>
                <w:rFonts w:cs="Arial"/>
                <w:szCs w:val="20"/>
              </w:rPr>
              <w:t>Persoana care are dreptul conform actelor de constituire/alte acte relevante să reprezinte organizaţia şi să semneze în numele acesteia.</w:t>
            </w:r>
          </w:p>
        </w:tc>
      </w:tr>
      <w:tr w:rsidR="00EC3D5B" w:rsidRPr="00DD681E" w14:paraId="3FFD788B" w14:textId="77777777"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4EBE4BCE" w14:textId="31CA3EB3" w:rsidR="00EC3D5B" w:rsidRPr="00DD681E" w:rsidRDefault="00EC3D5B" w:rsidP="002849B3">
            <w:pPr>
              <w:spacing w:before="0" w:after="0"/>
              <w:ind w:left="170" w:right="170"/>
              <w:jc w:val="both"/>
              <w:rPr>
                <w:szCs w:val="20"/>
              </w:rPr>
            </w:pPr>
            <w:r w:rsidRPr="00DD681E">
              <w:rPr>
                <w:rStyle w:val="rvts12"/>
                <w:rFonts w:cs="Tahoma"/>
                <w:szCs w:val="20"/>
              </w:rPr>
              <w:t>Sistemul unic de management al informaţiei (SMIS</w:t>
            </w:r>
            <w:r w:rsidR="00ED0FCC">
              <w:rPr>
                <w:rStyle w:val="rvts12"/>
                <w:rFonts w:cs="Tahoma"/>
                <w:szCs w:val="20"/>
              </w:rPr>
              <w:t>2014</w:t>
            </w:r>
            <w:r w:rsidR="00ED0FCC">
              <w:rPr>
                <w:rStyle w:val="rvts12"/>
                <w:rFonts w:cs="Tahoma"/>
                <w:szCs w:val="20"/>
                <w:lang w:val="en-US"/>
              </w:rPr>
              <w:t>+</w:t>
            </w:r>
            <w:r w:rsidRPr="00DD681E">
              <w:rPr>
                <w:rStyle w:val="rvts12"/>
                <w:rFonts w:cs="Tahoma"/>
                <w:szCs w:val="20"/>
              </w:rPr>
              <w:t>)</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14:paraId="756F0AC7" w14:textId="36D42DEC" w:rsidR="00EC3D5B" w:rsidRPr="00DD681E" w:rsidRDefault="00ED0FCC" w:rsidP="002849B3">
            <w:pPr>
              <w:spacing w:before="0" w:after="0"/>
              <w:ind w:left="170" w:right="170"/>
              <w:jc w:val="both"/>
              <w:rPr>
                <w:szCs w:val="20"/>
              </w:rPr>
            </w:pPr>
            <w:r w:rsidRPr="00ED0FCC">
              <w:rPr>
                <w:rStyle w:val="rvts9"/>
                <w:rFonts w:cs="Tahoma"/>
                <w:szCs w:val="20"/>
              </w:rPr>
              <w:t>SMIS</w:t>
            </w:r>
            <w:r>
              <w:rPr>
                <w:rStyle w:val="rvts9"/>
                <w:rFonts w:cs="Tahoma"/>
                <w:szCs w:val="20"/>
              </w:rPr>
              <w:t xml:space="preserve"> </w:t>
            </w:r>
            <w:r w:rsidRPr="00ED0FCC">
              <w:rPr>
                <w:rStyle w:val="rvts9"/>
                <w:rFonts w:cs="Tahoma"/>
                <w:szCs w:val="20"/>
              </w:rPr>
              <w:t>2014+ reprezintă sistemul informatic unitar, gestionat de Ministerul Fondurilor Europene, care are posibilitatea să interacţioneze eficient cu sistemul informatic al Comisiei Europene (SFC 2014) şi este proiectat având la bază principiul asigurării interoperabilităţii cu alte sisteme informatice, astfel încât să poată oferi în orice moment situaţii operative de ansamblu, precum şi raportări specifice şi detaliate, în funcţie de nevoile utilizatorilor, răspunzând nevoilor sistemului de coordonare, gestionare şi control al FEDR, FC şi FSE, în conformitate cu prevederile art. 125 alin. (2) lit. d) din Regulamentul (UE) nr. 1.303/2013;”</w:t>
            </w:r>
          </w:p>
        </w:tc>
      </w:tr>
      <w:tr w:rsidR="00EC3D5B" w:rsidRPr="00DD681E" w14:paraId="32300EEC" w14:textId="77777777"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7A0636E6" w14:textId="77777777" w:rsidR="00EC3D5B" w:rsidRPr="00DD681E" w:rsidRDefault="00EC3D5B" w:rsidP="002849B3">
            <w:pPr>
              <w:spacing w:before="0" w:after="0"/>
              <w:ind w:left="170" w:right="170"/>
              <w:jc w:val="both"/>
              <w:rPr>
                <w:szCs w:val="20"/>
              </w:rPr>
            </w:pPr>
            <w:r w:rsidRPr="00DD681E">
              <w:rPr>
                <w:szCs w:val="20"/>
              </w:rPr>
              <w:t>Solicitant</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14:paraId="5B74FD8E" w14:textId="77777777" w:rsidR="00EC3D5B" w:rsidRPr="00DD681E" w:rsidRDefault="00EC3D5B" w:rsidP="002849B3">
            <w:pPr>
              <w:spacing w:before="0" w:after="0"/>
              <w:ind w:left="170" w:right="170"/>
              <w:jc w:val="both"/>
              <w:rPr>
                <w:szCs w:val="20"/>
              </w:rPr>
            </w:pPr>
            <w:r w:rsidRPr="00DD681E">
              <w:rPr>
                <w:szCs w:val="20"/>
              </w:rPr>
              <w:t>Persoana juridică sau asocierea / parteneriatul de persoane juridice care depune o cerere de finanţare, în vederea obţinerii de fonduri nerambursabile</w:t>
            </w:r>
            <w:r w:rsidR="00BE3B5D" w:rsidRPr="00DD681E">
              <w:rPr>
                <w:szCs w:val="20"/>
              </w:rPr>
              <w:t xml:space="preserve"> din cadrul POR 2014-2020</w:t>
            </w:r>
            <w:r w:rsidRPr="00DD681E">
              <w:rPr>
                <w:szCs w:val="20"/>
              </w:rPr>
              <w:t>. Categoriile de solicitanţi eligibili şi condiţiile pe care aceştia trebuie să le îndeplinească su</w:t>
            </w:r>
            <w:r w:rsidR="00BE3B5D" w:rsidRPr="00DD681E">
              <w:rPr>
                <w:szCs w:val="20"/>
              </w:rPr>
              <w:t>nt menţionate în prezentul Ghid general, preucm și din cadrul Ghidurilor specifice.</w:t>
            </w:r>
          </w:p>
        </w:tc>
      </w:tr>
      <w:tr w:rsidR="00707FBF" w:rsidRPr="00DD681E" w14:paraId="3800909A" w14:textId="77777777"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tcPr>
          <w:p w14:paraId="5EF684D7" w14:textId="1A4177AA" w:rsidR="00707FBF" w:rsidRPr="00DD681E" w:rsidRDefault="00707FBF" w:rsidP="002849B3">
            <w:pPr>
              <w:spacing w:before="0" w:after="0"/>
              <w:ind w:left="170" w:right="170"/>
              <w:jc w:val="both"/>
              <w:rPr>
                <w:szCs w:val="20"/>
              </w:rPr>
            </w:pPr>
            <w:r w:rsidRPr="00832880">
              <w:t>Strategie de Dezvoltare Locală Plasată sub Responsabilitatea Comunităţii (Strategie DLRC)</w:t>
            </w:r>
          </w:p>
        </w:tc>
        <w:tc>
          <w:tcPr>
            <w:tcW w:w="7425" w:type="dxa"/>
            <w:tcBorders>
              <w:top w:val="single" w:sz="4" w:space="0" w:color="333333"/>
              <w:left w:val="nil"/>
              <w:bottom w:val="single" w:sz="4" w:space="0" w:color="333333"/>
              <w:right w:val="nil"/>
            </w:tcBorders>
            <w:tcMar>
              <w:top w:w="16" w:type="dxa"/>
              <w:left w:w="16" w:type="dxa"/>
              <w:bottom w:w="0" w:type="dxa"/>
              <w:right w:w="16" w:type="dxa"/>
            </w:tcMar>
          </w:tcPr>
          <w:p w14:paraId="325312AF" w14:textId="5C987FD6" w:rsidR="00707FBF" w:rsidRPr="00DD681E" w:rsidRDefault="00707FBF" w:rsidP="002849B3">
            <w:pPr>
              <w:spacing w:before="0" w:after="0"/>
              <w:ind w:left="170" w:right="170"/>
              <w:jc w:val="both"/>
              <w:rPr>
                <w:szCs w:val="20"/>
              </w:rPr>
            </w:pPr>
            <w:r w:rsidRPr="00832880">
              <w:t xml:space="preserve">Reprezintă un set coerent de operaţiuni care vizează atingerea obiectivelor şi acoperirea nevoilor locale care contribuie la atingerea obiectivelor Strategiei Europa 2020 a UE pentru o creştere inteligentă, durabilă şi favorabilă incluziunii, conceput şi implementat de un grup de acţiune locală. </w:t>
            </w:r>
          </w:p>
        </w:tc>
      </w:tr>
      <w:tr w:rsidR="00EC3D5B" w:rsidRPr="00DD681E" w14:paraId="52FC63F8" w14:textId="77777777"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78B94182" w14:textId="77777777" w:rsidR="00EC3D5B" w:rsidRPr="00DD681E" w:rsidRDefault="00EC3D5B" w:rsidP="002849B3">
            <w:pPr>
              <w:spacing w:before="0" w:after="0"/>
              <w:ind w:left="170" w:right="170"/>
              <w:jc w:val="both"/>
              <w:rPr>
                <w:szCs w:val="20"/>
              </w:rPr>
            </w:pPr>
            <w:r w:rsidRPr="00DD681E">
              <w:rPr>
                <w:szCs w:val="20"/>
              </w:rPr>
              <w:t>Strategie de Dezvoltare Regională 20</w:t>
            </w:r>
            <w:r w:rsidR="00BE3B5D" w:rsidRPr="00DD681E">
              <w:rPr>
                <w:szCs w:val="20"/>
              </w:rPr>
              <w:t>14</w:t>
            </w:r>
            <w:r w:rsidRPr="00DD681E">
              <w:rPr>
                <w:szCs w:val="20"/>
              </w:rPr>
              <w:t>-20</w:t>
            </w:r>
            <w:r w:rsidR="00BE3B5D" w:rsidRPr="00DD681E">
              <w:rPr>
                <w:szCs w:val="20"/>
              </w:rPr>
              <w:t>20</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14:paraId="761306E5" w14:textId="77777777" w:rsidR="00EC3D5B" w:rsidRPr="00DD681E" w:rsidRDefault="00EC3D5B" w:rsidP="002849B3">
            <w:pPr>
              <w:spacing w:before="0" w:after="0"/>
              <w:ind w:left="170" w:right="170"/>
              <w:jc w:val="both"/>
              <w:rPr>
                <w:szCs w:val="20"/>
              </w:rPr>
            </w:pPr>
            <w:r w:rsidRPr="00DD681E">
              <w:rPr>
                <w:szCs w:val="20"/>
              </w:rPr>
              <w:t>Document elaborat pentru fiecare regiune de dezvoltare, conţine priorităţi şi măsuri ce vor putea fi finanţate din instrumente structurale prin Programul Operaţional Regional, programe operaţionale sectoriale, Programul Naţional pentru Dezvoltare Rurală, precum şi din alte surse de finanţare.</w:t>
            </w:r>
          </w:p>
        </w:tc>
      </w:tr>
      <w:tr w:rsidR="00707FBF" w:rsidRPr="00DD681E" w14:paraId="1609327D" w14:textId="77777777"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tcPr>
          <w:p w14:paraId="6D74B8C1" w14:textId="3B4FFF97" w:rsidR="00707FBF" w:rsidRPr="00DD681E" w:rsidRDefault="00707FBF" w:rsidP="002849B3">
            <w:pPr>
              <w:spacing w:before="0" w:after="0"/>
              <w:ind w:left="170" w:right="170"/>
              <w:jc w:val="both"/>
              <w:rPr>
                <w:szCs w:val="20"/>
              </w:rPr>
            </w:pPr>
            <w:r w:rsidRPr="00075094">
              <w:t>Strategie Integrată de Dezvoltare Urbană</w:t>
            </w:r>
          </w:p>
        </w:tc>
        <w:tc>
          <w:tcPr>
            <w:tcW w:w="7425" w:type="dxa"/>
            <w:tcBorders>
              <w:top w:val="single" w:sz="4" w:space="0" w:color="333333"/>
              <w:left w:val="nil"/>
              <w:bottom w:val="single" w:sz="4" w:space="0" w:color="333333"/>
              <w:right w:val="nil"/>
            </w:tcBorders>
            <w:tcMar>
              <w:top w:w="16" w:type="dxa"/>
              <w:left w:w="16" w:type="dxa"/>
              <w:bottom w:w="0" w:type="dxa"/>
              <w:right w:w="16" w:type="dxa"/>
            </w:tcMar>
          </w:tcPr>
          <w:p w14:paraId="31E0BEEC" w14:textId="070D0A84" w:rsidR="00707FBF" w:rsidRPr="00DD681E" w:rsidRDefault="00707FBF" w:rsidP="002849B3">
            <w:pPr>
              <w:spacing w:before="0" w:after="0"/>
              <w:ind w:left="170" w:right="170"/>
              <w:jc w:val="both"/>
              <w:rPr>
                <w:szCs w:val="20"/>
              </w:rPr>
            </w:pPr>
            <w:r w:rsidRPr="00075094">
              <w:t>Conform art. 7 din Regulamentul (UE) nr. 1301/2013 privind Fondul European de Dezvoltare Regională (FEDR), Strategia integrată de dezvoltare urbană este documentul care stabileşte acțiuni integrate pentru abordarea provocărilor economice, sociale, climatice, demografice și de mediu care afectează zonele urbane.</w:t>
            </w:r>
          </w:p>
        </w:tc>
      </w:tr>
      <w:tr w:rsidR="00E359D9" w:rsidRPr="00DD681E" w14:paraId="754210C9" w14:textId="77777777"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tcPr>
          <w:p w14:paraId="379406C6" w14:textId="77777777" w:rsidR="00E359D9" w:rsidRPr="00DD681E" w:rsidRDefault="00E359D9" w:rsidP="002849B3">
            <w:pPr>
              <w:spacing w:before="0" w:after="0"/>
              <w:ind w:left="170" w:right="170"/>
              <w:jc w:val="both"/>
              <w:rPr>
                <w:szCs w:val="20"/>
              </w:rPr>
            </w:pPr>
            <w:r w:rsidRPr="00DD681E">
              <w:rPr>
                <w:szCs w:val="20"/>
              </w:rPr>
              <w:t>Strategia Uniunii Europene pentru Regiunea Dunării</w:t>
            </w:r>
          </w:p>
        </w:tc>
        <w:tc>
          <w:tcPr>
            <w:tcW w:w="7425" w:type="dxa"/>
            <w:tcBorders>
              <w:top w:val="single" w:sz="4" w:space="0" w:color="333333"/>
              <w:left w:val="nil"/>
              <w:bottom w:val="single" w:sz="4" w:space="0" w:color="333333"/>
              <w:right w:val="nil"/>
            </w:tcBorders>
            <w:tcMar>
              <w:top w:w="16" w:type="dxa"/>
              <w:left w:w="16" w:type="dxa"/>
              <w:bottom w:w="0" w:type="dxa"/>
              <w:right w:w="16" w:type="dxa"/>
            </w:tcMar>
          </w:tcPr>
          <w:p w14:paraId="44D4A010" w14:textId="77777777" w:rsidR="00E359D9" w:rsidRPr="00DD681E" w:rsidRDefault="00E359D9" w:rsidP="002849B3">
            <w:pPr>
              <w:spacing w:before="0" w:after="0"/>
              <w:ind w:left="170" w:right="170"/>
              <w:jc w:val="both"/>
              <w:rPr>
                <w:szCs w:val="20"/>
              </w:rPr>
            </w:pPr>
            <w:r w:rsidRPr="00DD681E">
              <w:rPr>
                <w:szCs w:val="20"/>
              </w:rPr>
              <w:t>Strategia UE pentru regiunea Dunării (SUERD) este un mecanism comunitar de cooperare a statelor din bazinul Dunării, destinat dezvoltării economice şi sociale a macro-regiunii dunărene, prin consolidarea implementării în regiune a politicilor şi legislaţiei UE. SUERD este a doua strategie macro-regională a UE, preluând modelul de cooperare dezvoltat prin Strategia UE pentru Marea Baltică (adoptată în 2009) cu adaptare la specificul regiunii dunărene.</w:t>
            </w:r>
          </w:p>
          <w:p w14:paraId="2C0D6041" w14:textId="77777777" w:rsidR="00E359D9" w:rsidRPr="00DD681E" w:rsidRDefault="00E359D9" w:rsidP="002849B3">
            <w:pPr>
              <w:spacing w:before="0" w:after="0"/>
              <w:ind w:left="170" w:right="170"/>
              <w:jc w:val="both"/>
              <w:rPr>
                <w:szCs w:val="20"/>
              </w:rPr>
            </w:pPr>
            <w:r w:rsidRPr="00DD681E">
              <w:rPr>
                <w:szCs w:val="20"/>
              </w:rPr>
              <w:t>La Strategia Dunării participă paisprezece state: nouă state membre UE (Austria, România, Bulgaria, Cehia, Croaţia, Germania – ca stat federal şi prin landurile Baden-Württemberg şi Bavaria, Slovacia, Slovenia, Ungaria) şi cinci state ne-membre UE (Bosnia-Herţegovina, Muntenegru, Serbia, Republica Moldova şi Ucraina).</w:t>
            </w:r>
          </w:p>
          <w:p w14:paraId="18325A4F" w14:textId="77777777" w:rsidR="00E359D9" w:rsidRPr="00DD681E" w:rsidRDefault="00E359D9" w:rsidP="002849B3">
            <w:pPr>
              <w:spacing w:before="0" w:after="0"/>
              <w:ind w:left="170" w:right="170"/>
              <w:jc w:val="both"/>
              <w:rPr>
                <w:szCs w:val="20"/>
              </w:rPr>
            </w:pPr>
            <w:r w:rsidRPr="00DD681E">
              <w:rPr>
                <w:szCs w:val="20"/>
              </w:rPr>
              <w:t>Obiective şi priorităţi - strategia este structurată pe patru mari obiective:</w:t>
            </w:r>
          </w:p>
          <w:p w14:paraId="5EBF411E" w14:textId="77777777" w:rsidR="00E359D9" w:rsidRPr="00DD681E" w:rsidRDefault="00E359D9" w:rsidP="002849B3">
            <w:pPr>
              <w:spacing w:before="0" w:after="0"/>
              <w:ind w:left="170" w:right="170"/>
              <w:jc w:val="both"/>
              <w:rPr>
                <w:szCs w:val="20"/>
              </w:rPr>
            </w:pPr>
            <w:r w:rsidRPr="00DD681E">
              <w:rPr>
                <w:szCs w:val="20"/>
              </w:rPr>
              <w:lastRenderedPageBreak/>
              <w:t>•</w:t>
            </w:r>
            <w:r w:rsidRPr="00DD681E">
              <w:rPr>
                <w:szCs w:val="20"/>
              </w:rPr>
              <w:tab/>
              <w:t>interconectarea regiunii Dunării;</w:t>
            </w:r>
          </w:p>
          <w:p w14:paraId="6A32137B" w14:textId="77777777" w:rsidR="00E359D9" w:rsidRPr="00DD681E" w:rsidRDefault="00E359D9" w:rsidP="002849B3">
            <w:pPr>
              <w:spacing w:before="0" w:after="0"/>
              <w:ind w:left="170" w:right="170"/>
              <w:jc w:val="both"/>
              <w:rPr>
                <w:szCs w:val="20"/>
              </w:rPr>
            </w:pPr>
            <w:r w:rsidRPr="00DD681E">
              <w:rPr>
                <w:szCs w:val="20"/>
              </w:rPr>
              <w:t>•</w:t>
            </w:r>
            <w:r w:rsidRPr="00DD681E">
              <w:rPr>
                <w:szCs w:val="20"/>
              </w:rPr>
              <w:tab/>
              <w:t>protejarea mediului în regiunea Dunării;</w:t>
            </w:r>
          </w:p>
          <w:p w14:paraId="1E2251FE" w14:textId="77777777" w:rsidR="00E359D9" w:rsidRPr="00DD681E" w:rsidRDefault="00E359D9" w:rsidP="002849B3">
            <w:pPr>
              <w:spacing w:before="0" w:after="0"/>
              <w:ind w:left="170" w:right="170"/>
              <w:jc w:val="both"/>
              <w:rPr>
                <w:szCs w:val="20"/>
              </w:rPr>
            </w:pPr>
            <w:r w:rsidRPr="00DD681E">
              <w:rPr>
                <w:szCs w:val="20"/>
              </w:rPr>
              <w:t>•</w:t>
            </w:r>
            <w:r w:rsidRPr="00DD681E">
              <w:rPr>
                <w:szCs w:val="20"/>
              </w:rPr>
              <w:tab/>
              <w:t>creşterea prosperităţii în regiunea Dunării;</w:t>
            </w:r>
          </w:p>
          <w:p w14:paraId="25B03DDD" w14:textId="77777777" w:rsidR="00E359D9" w:rsidRPr="00DD681E" w:rsidRDefault="00E359D9" w:rsidP="002849B3">
            <w:pPr>
              <w:spacing w:before="0" w:after="0"/>
              <w:ind w:left="170" w:right="170"/>
              <w:jc w:val="both"/>
              <w:rPr>
                <w:szCs w:val="20"/>
              </w:rPr>
            </w:pPr>
            <w:r w:rsidRPr="00DD681E">
              <w:rPr>
                <w:szCs w:val="20"/>
              </w:rPr>
              <w:t>•</w:t>
            </w:r>
            <w:r w:rsidRPr="00DD681E">
              <w:rPr>
                <w:szCs w:val="20"/>
              </w:rPr>
              <w:tab/>
              <w:t>consolidarea regiunii Dunării.</w:t>
            </w:r>
          </w:p>
        </w:tc>
      </w:tr>
      <w:tr w:rsidR="003306C8" w:rsidRPr="00DD681E" w14:paraId="7C059E52" w14:textId="77777777" w:rsidTr="007178DD">
        <w:trPr>
          <w:trHeight w:val="1879"/>
        </w:trPr>
        <w:tc>
          <w:tcPr>
            <w:tcW w:w="2230" w:type="dxa"/>
            <w:tcBorders>
              <w:top w:val="single" w:sz="4" w:space="0" w:color="333333"/>
              <w:left w:val="nil"/>
              <w:bottom w:val="single" w:sz="4" w:space="0" w:color="333333"/>
              <w:right w:val="nil"/>
            </w:tcBorders>
            <w:tcMar>
              <w:top w:w="16" w:type="dxa"/>
              <w:left w:w="16" w:type="dxa"/>
              <w:bottom w:w="0" w:type="dxa"/>
              <w:right w:w="16" w:type="dxa"/>
            </w:tcMar>
          </w:tcPr>
          <w:p w14:paraId="028AF67E" w14:textId="77777777" w:rsidR="003306C8" w:rsidRPr="00DD681E" w:rsidRDefault="003306C8" w:rsidP="002849B3">
            <w:pPr>
              <w:spacing w:before="0" w:after="0"/>
              <w:ind w:left="170" w:right="170"/>
              <w:jc w:val="both"/>
              <w:rPr>
                <w:szCs w:val="20"/>
              </w:rPr>
            </w:pPr>
            <w:r w:rsidRPr="00DD681E">
              <w:rPr>
                <w:szCs w:val="20"/>
              </w:rPr>
              <w:lastRenderedPageBreak/>
              <w:t>Teritoriul din perspectiva CLLD</w:t>
            </w:r>
          </w:p>
        </w:tc>
        <w:tc>
          <w:tcPr>
            <w:tcW w:w="7425" w:type="dxa"/>
            <w:tcBorders>
              <w:top w:val="single" w:sz="4" w:space="0" w:color="333333"/>
              <w:left w:val="nil"/>
              <w:bottom w:val="single" w:sz="4" w:space="0" w:color="333333"/>
              <w:right w:val="nil"/>
            </w:tcBorders>
            <w:tcMar>
              <w:top w:w="16" w:type="dxa"/>
              <w:left w:w="16" w:type="dxa"/>
              <w:bottom w:w="0" w:type="dxa"/>
              <w:right w:w="16" w:type="dxa"/>
            </w:tcMar>
          </w:tcPr>
          <w:p w14:paraId="281F02D6" w14:textId="77777777" w:rsidR="003306C8" w:rsidRPr="00DD681E" w:rsidRDefault="003306C8" w:rsidP="002849B3">
            <w:pPr>
              <w:spacing w:before="0" w:after="0"/>
              <w:ind w:left="170" w:right="170"/>
              <w:jc w:val="both"/>
              <w:rPr>
                <w:rStyle w:val="rvts7"/>
                <w:rFonts w:cs="Tahoma"/>
                <w:szCs w:val="20"/>
              </w:rPr>
            </w:pPr>
            <w:r w:rsidRPr="00DD681E">
              <w:rPr>
                <w:rStyle w:val="rvts7"/>
                <w:rFonts w:cs="Tahoma"/>
                <w:szCs w:val="20"/>
              </w:rPr>
              <w:t xml:space="preserve">Selectarea zonelor urbane în care este indicată aplicarea abordării CLLD se va face pe baza criteriilor de dimensiune și coerență. </w:t>
            </w:r>
          </w:p>
          <w:p w14:paraId="48BC9506" w14:textId="77777777" w:rsidR="003306C8" w:rsidRPr="00DD681E" w:rsidRDefault="00CD68F0" w:rsidP="002849B3">
            <w:pPr>
              <w:spacing w:before="0" w:after="0"/>
              <w:ind w:left="170" w:right="170"/>
              <w:jc w:val="both"/>
              <w:rPr>
                <w:rStyle w:val="rvts7"/>
                <w:rFonts w:cs="Tahoma"/>
                <w:szCs w:val="20"/>
              </w:rPr>
            </w:pPr>
            <w:r w:rsidRPr="00DD681E">
              <w:rPr>
                <w:rStyle w:val="rvts7"/>
                <w:rFonts w:cs="Tahoma"/>
                <w:szCs w:val="20"/>
              </w:rPr>
              <w:t>-</w:t>
            </w:r>
            <w:r w:rsidR="003306C8" w:rsidRPr="00DD681E">
              <w:rPr>
                <w:rStyle w:val="rvts7"/>
                <w:rFonts w:cs="Tahoma"/>
                <w:szCs w:val="20"/>
              </w:rPr>
              <w:t>Din punctul de vedere al dimensiunii, populația vizată de un parteneriat local va cuprinde între 10.000 și 150.000 de locuitori.</w:t>
            </w:r>
          </w:p>
          <w:p w14:paraId="05ADEA63" w14:textId="77777777" w:rsidR="003306C8" w:rsidRPr="00DD681E" w:rsidRDefault="00CD68F0" w:rsidP="002849B3">
            <w:pPr>
              <w:spacing w:before="0" w:after="0"/>
              <w:ind w:left="170" w:right="170"/>
              <w:jc w:val="both"/>
              <w:rPr>
                <w:sz w:val="16"/>
                <w:szCs w:val="16"/>
                <w:lang w:val="en-US"/>
              </w:rPr>
            </w:pPr>
            <w:r w:rsidRPr="00DD681E">
              <w:rPr>
                <w:rStyle w:val="rvts7"/>
                <w:rFonts w:cs="Tahoma"/>
                <w:szCs w:val="20"/>
              </w:rPr>
              <w:t>-</w:t>
            </w:r>
            <w:r w:rsidR="003306C8" w:rsidRPr="00DD681E">
              <w:rPr>
                <w:rStyle w:val="rvts7"/>
                <w:rFonts w:cs="Tahoma"/>
                <w:szCs w:val="20"/>
              </w:rPr>
              <w:t>Din punctul de vedere coerenței, zonele vizate de un parteneriat local (grup de acțiune locală) trebuie să fie coerente din punct de vedere economic, social și fizic, prin coerență înțelegându-se „funcționalitatea” zonei în sensul susținerii obiectivelor strategiei de dezvoltare locală. Teritoriul va cuprinde una sau mai multe zone urbane marginalizate (cum ar fi zone de tip ghetou cu blocuri) alături de zona urbană funcțională din care fac parte acestea.</w:t>
            </w:r>
          </w:p>
        </w:tc>
      </w:tr>
      <w:tr w:rsidR="00EC3D5B" w:rsidRPr="00DD681E" w14:paraId="1080EFB9" w14:textId="77777777" w:rsidTr="00B856FB">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7E979F21" w14:textId="77777777" w:rsidR="00EC3D5B" w:rsidRPr="00DD681E" w:rsidRDefault="00EC3D5B" w:rsidP="002849B3">
            <w:pPr>
              <w:spacing w:before="0" w:after="0"/>
              <w:ind w:left="170" w:right="170"/>
              <w:jc w:val="both"/>
              <w:rPr>
                <w:szCs w:val="20"/>
              </w:rPr>
            </w:pPr>
            <w:r w:rsidRPr="00DD681E">
              <w:rPr>
                <w:szCs w:val="20"/>
              </w:rPr>
              <w:t>Unitate de plată pentru POR</w:t>
            </w:r>
          </w:p>
        </w:tc>
        <w:tc>
          <w:tcPr>
            <w:tcW w:w="7425" w:type="dxa"/>
            <w:tcBorders>
              <w:top w:val="single" w:sz="4" w:space="0" w:color="333333"/>
              <w:left w:val="nil"/>
              <w:bottom w:val="single" w:sz="4" w:space="0" w:color="333333"/>
              <w:right w:val="nil"/>
            </w:tcBorders>
            <w:tcMar>
              <w:top w:w="16" w:type="dxa"/>
              <w:left w:w="16" w:type="dxa"/>
              <w:bottom w:w="0" w:type="dxa"/>
              <w:right w:w="16" w:type="dxa"/>
            </w:tcMar>
            <w:hideMark/>
          </w:tcPr>
          <w:p w14:paraId="19C0B232" w14:textId="77777777" w:rsidR="00EC3D5B" w:rsidRPr="00DD681E" w:rsidRDefault="00EC3D5B" w:rsidP="002849B3">
            <w:pPr>
              <w:spacing w:before="0" w:after="0"/>
              <w:ind w:left="170" w:right="170"/>
              <w:jc w:val="both"/>
              <w:rPr>
                <w:szCs w:val="20"/>
              </w:rPr>
            </w:pPr>
            <w:r w:rsidRPr="00DD681E">
              <w:rPr>
                <w:szCs w:val="20"/>
              </w:rPr>
              <w:t>Structură din cadrul Ministerului Dezvoltării</w:t>
            </w:r>
            <w:r w:rsidR="00BE3B5D" w:rsidRPr="00DD681E">
              <w:rPr>
                <w:szCs w:val="20"/>
              </w:rPr>
              <w:t xml:space="preserve"> Regionale și administrației Publice</w:t>
            </w:r>
            <w:r w:rsidRPr="00DD681E">
              <w:rPr>
                <w:szCs w:val="20"/>
              </w:rPr>
              <w:t xml:space="preserve">, </w:t>
            </w:r>
            <w:r w:rsidRPr="00DD681E">
              <w:rPr>
                <w:rStyle w:val="rvts7"/>
                <w:rFonts w:cs="Tahoma"/>
                <w:szCs w:val="20"/>
              </w:rPr>
              <w:t>având responsabilitatea transferării către beneficiari a sumelor de prefinanţare, cofinanţare alocate de la bugetul de stat, a sumelor din asistenţa financiară nerambursabilă de la Uniunea Europeană şi a sumelor pentru acoperirea plăţii taxei pe valoarea adăugată aferentă cheltuielilor eligibile efectuate în cadrul proiectelor finanţate în cadrul POR</w:t>
            </w:r>
            <w:r w:rsidRPr="00DD681E">
              <w:rPr>
                <w:szCs w:val="20"/>
              </w:rPr>
              <w:t xml:space="preserve"> </w:t>
            </w:r>
          </w:p>
        </w:tc>
      </w:tr>
    </w:tbl>
    <w:p w14:paraId="3D795197" w14:textId="77777777" w:rsidR="00EC3D5B" w:rsidRPr="00DD681E" w:rsidRDefault="00EC3D5B" w:rsidP="002849B3">
      <w:pPr>
        <w:spacing w:before="0" w:after="0"/>
        <w:jc w:val="both"/>
        <w:rPr>
          <w:szCs w:val="20"/>
        </w:rPr>
      </w:pPr>
    </w:p>
    <w:p w14:paraId="723BEF56" w14:textId="77777777" w:rsidR="00EC3D5B" w:rsidRPr="00DD681E" w:rsidRDefault="00EC3D5B" w:rsidP="002849B3">
      <w:pPr>
        <w:spacing w:before="0" w:after="0"/>
        <w:jc w:val="both"/>
        <w:rPr>
          <w:b/>
          <w:bCs/>
          <w:szCs w:val="20"/>
        </w:rPr>
      </w:pPr>
    </w:p>
    <w:p w14:paraId="00599C26" w14:textId="77777777" w:rsidR="00EC3D5B" w:rsidRPr="00DD681E" w:rsidRDefault="00EC3D5B" w:rsidP="002849B3">
      <w:pPr>
        <w:spacing w:before="0" w:after="0"/>
        <w:jc w:val="both"/>
        <w:rPr>
          <w:b/>
          <w:bCs/>
          <w:szCs w:val="20"/>
        </w:rPr>
      </w:pPr>
      <w:r w:rsidRPr="00DD681E">
        <w:rPr>
          <w:b/>
          <w:bCs/>
          <w:szCs w:val="20"/>
        </w:rPr>
        <w:t>Terminologie financiară</w:t>
      </w:r>
    </w:p>
    <w:p w14:paraId="08C8127C" w14:textId="77777777" w:rsidR="00EC3D5B" w:rsidRPr="00DD681E" w:rsidRDefault="00EC3D5B" w:rsidP="002849B3">
      <w:pPr>
        <w:spacing w:before="0" w:after="0"/>
        <w:jc w:val="both"/>
        <w:rPr>
          <w:b/>
          <w:bCs/>
          <w:szCs w:val="20"/>
        </w:rPr>
      </w:pPr>
    </w:p>
    <w:tbl>
      <w:tblPr>
        <w:tblW w:w="9195" w:type="dxa"/>
        <w:tblBorders>
          <w:top w:val="single" w:sz="4" w:space="0" w:color="333333"/>
          <w:bottom w:val="single" w:sz="4" w:space="0" w:color="333333"/>
          <w:insideH w:val="single" w:sz="4" w:space="0" w:color="333333"/>
        </w:tblBorders>
        <w:tblLayout w:type="fixed"/>
        <w:tblCellMar>
          <w:left w:w="0" w:type="dxa"/>
          <w:right w:w="0" w:type="dxa"/>
        </w:tblCellMar>
        <w:tblLook w:val="04A0" w:firstRow="1" w:lastRow="0" w:firstColumn="1" w:lastColumn="0" w:noHBand="0" w:noVBand="1"/>
      </w:tblPr>
      <w:tblGrid>
        <w:gridCol w:w="2230"/>
        <w:gridCol w:w="6965"/>
      </w:tblGrid>
      <w:tr w:rsidR="00EC3D5B" w:rsidRPr="00DD681E" w14:paraId="24DA607C" w14:textId="77777777" w:rsidTr="00765794">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7E79C6C2" w14:textId="77777777" w:rsidR="00EC3D5B" w:rsidRPr="00DD681E" w:rsidRDefault="00EC3D5B" w:rsidP="002849B3">
            <w:pPr>
              <w:spacing w:before="0" w:after="0"/>
              <w:ind w:left="181" w:right="221"/>
              <w:jc w:val="both"/>
              <w:rPr>
                <w:szCs w:val="20"/>
              </w:rPr>
            </w:pPr>
            <w:r w:rsidRPr="00DD681E">
              <w:rPr>
                <w:szCs w:val="20"/>
              </w:rPr>
              <w:t>Cheltuieli eligibile</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20CAF309" w14:textId="77777777" w:rsidR="00EC3D5B" w:rsidRPr="00DD681E" w:rsidRDefault="00EC3D5B" w:rsidP="002849B3">
            <w:pPr>
              <w:spacing w:before="0" w:after="0"/>
              <w:ind w:left="142" w:right="142"/>
              <w:jc w:val="both"/>
              <w:rPr>
                <w:szCs w:val="20"/>
              </w:rPr>
            </w:pPr>
            <w:r w:rsidRPr="00DD681E">
              <w:rPr>
                <w:rStyle w:val="rvts7"/>
                <w:rFonts w:cs="Tahoma"/>
                <w:szCs w:val="20"/>
              </w:rPr>
              <w:t>Cheltuielile realizate de către un beneficiar, aferente proiectelor finanţate în cadrul programelor operaţionale, care pot fi finanţate atât din instrumente structurale, cât şi din bugetul de stat şi/sau contribuţia proprie a beneficiarului, conform reglementărilor legale com</w:t>
            </w:r>
            <w:r w:rsidR="00BE3B5D" w:rsidRPr="00DD681E">
              <w:rPr>
                <w:rStyle w:val="rvts7"/>
                <w:rFonts w:cs="Tahoma"/>
                <w:szCs w:val="20"/>
              </w:rPr>
              <w:t>unitare şi naţionale în vigoare</w:t>
            </w:r>
            <w:r w:rsidRPr="00DD681E">
              <w:rPr>
                <w:szCs w:val="20"/>
              </w:rPr>
              <w:t xml:space="preserve">. Categoriile de cheltuieli eligibile </w:t>
            </w:r>
            <w:r w:rsidR="00E1552D" w:rsidRPr="00DD681E">
              <w:rPr>
                <w:szCs w:val="20"/>
              </w:rPr>
              <w:t>s</w:t>
            </w:r>
            <w:r w:rsidR="00BE3B5D" w:rsidRPr="00DD681E">
              <w:rPr>
                <w:szCs w:val="20"/>
              </w:rPr>
              <w:t>unt detaliate pentru fiecare prioritate de in</w:t>
            </w:r>
            <w:r w:rsidR="00E1552D" w:rsidRPr="00DD681E">
              <w:rPr>
                <w:szCs w:val="20"/>
              </w:rPr>
              <w:t>vestiții</w:t>
            </w:r>
            <w:r w:rsidR="00BE3B5D" w:rsidRPr="00DD681E">
              <w:rPr>
                <w:szCs w:val="20"/>
              </w:rPr>
              <w:t xml:space="preserve"> în parte</w:t>
            </w:r>
            <w:r w:rsidR="00E1552D" w:rsidRPr="00DD681E">
              <w:rPr>
                <w:szCs w:val="20"/>
              </w:rPr>
              <w:t xml:space="preserve"> în cadrul ordinelor de cheltuieli ne-eligibile. </w:t>
            </w:r>
          </w:p>
        </w:tc>
      </w:tr>
      <w:tr w:rsidR="00EC3D5B" w:rsidRPr="00DD681E" w14:paraId="4AF858CD" w14:textId="77777777" w:rsidTr="00765794">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68B44212" w14:textId="77777777" w:rsidR="00EC3D5B" w:rsidRPr="00DD681E" w:rsidRDefault="00EC3D5B" w:rsidP="002849B3">
            <w:pPr>
              <w:spacing w:before="0" w:after="0"/>
              <w:ind w:left="181" w:right="221"/>
              <w:jc w:val="both"/>
              <w:rPr>
                <w:szCs w:val="20"/>
              </w:rPr>
            </w:pPr>
            <w:r w:rsidRPr="00DD681E">
              <w:rPr>
                <w:szCs w:val="20"/>
              </w:rPr>
              <w:t>Cheltuieli neeligibile</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6657A240" w14:textId="77777777" w:rsidR="00EC3D5B" w:rsidRPr="00DD681E" w:rsidRDefault="00EC3D5B" w:rsidP="002849B3">
            <w:pPr>
              <w:spacing w:before="0" w:after="0"/>
              <w:ind w:left="142" w:right="142"/>
              <w:jc w:val="both"/>
              <w:rPr>
                <w:szCs w:val="20"/>
              </w:rPr>
            </w:pPr>
            <w:r w:rsidRPr="00DD681E">
              <w:rPr>
                <w:szCs w:val="20"/>
              </w:rPr>
              <w:t>În înţelesul prezentului Ghid, reprezintă cheltuieli inerente realizării proiectelor finanţate din instrumentele structurale în cadrul programelor operaţionale, care nu pot fi finanţate din instrumentele structurale, conform reglementărilor comunitare şi naţionale.</w:t>
            </w:r>
          </w:p>
        </w:tc>
      </w:tr>
      <w:tr w:rsidR="00EC3D5B" w:rsidRPr="00DD681E" w14:paraId="1B330028" w14:textId="77777777" w:rsidTr="00765794">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34738B5D" w14:textId="77777777" w:rsidR="00EC3D5B" w:rsidRPr="00DD681E" w:rsidRDefault="00EC3D5B" w:rsidP="002849B3">
            <w:pPr>
              <w:spacing w:before="0" w:after="0"/>
              <w:ind w:left="181" w:right="221"/>
              <w:jc w:val="both"/>
              <w:rPr>
                <w:szCs w:val="20"/>
              </w:rPr>
            </w:pPr>
            <w:r w:rsidRPr="00DD681E">
              <w:rPr>
                <w:szCs w:val="20"/>
              </w:rPr>
              <w:t>Co-finanţare privată</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4FB62EEC" w14:textId="77777777" w:rsidR="00EC3D5B" w:rsidRPr="00DD681E" w:rsidRDefault="00EC3D5B" w:rsidP="002849B3">
            <w:pPr>
              <w:spacing w:before="0" w:after="0"/>
              <w:ind w:left="142" w:right="142"/>
              <w:jc w:val="both"/>
              <w:rPr>
                <w:szCs w:val="20"/>
              </w:rPr>
            </w:pPr>
            <w:r w:rsidRPr="00DD681E">
              <w:rPr>
                <w:rStyle w:val="rvts5"/>
                <w:rFonts w:cs="Tahoma"/>
                <w:szCs w:val="20"/>
              </w:rPr>
              <w:t>Orice contribuţie la finanţarea cheltuielilor eligibile, alta decât co-finanţarea publică, aferentă proiectelor finanţate în cadrul programelor operaţionale</w:t>
            </w:r>
            <w:r w:rsidRPr="00DD681E">
              <w:rPr>
                <w:szCs w:val="20"/>
              </w:rPr>
              <w:t>.</w:t>
            </w:r>
          </w:p>
        </w:tc>
      </w:tr>
      <w:tr w:rsidR="00EC3D5B" w:rsidRPr="00DD681E" w14:paraId="61F4AAE4" w14:textId="77777777" w:rsidTr="00765794">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0E99D201" w14:textId="77777777" w:rsidR="00EC3D5B" w:rsidRPr="00DD681E" w:rsidRDefault="00EC3D5B" w:rsidP="002849B3">
            <w:pPr>
              <w:spacing w:before="0" w:after="0"/>
              <w:ind w:left="181" w:right="221"/>
              <w:jc w:val="both"/>
              <w:rPr>
                <w:rFonts w:eastAsia="Arial Unicode MS"/>
                <w:szCs w:val="20"/>
              </w:rPr>
            </w:pPr>
            <w:r w:rsidRPr="00DD681E">
              <w:rPr>
                <w:szCs w:val="20"/>
              </w:rPr>
              <w:t>Finanţare publică</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3E1A312D" w14:textId="77777777" w:rsidR="00EC3D5B" w:rsidRPr="00DD681E" w:rsidRDefault="00EC3D5B" w:rsidP="002849B3">
            <w:pPr>
              <w:spacing w:before="0" w:after="0"/>
              <w:ind w:left="142" w:right="142"/>
              <w:jc w:val="both"/>
              <w:rPr>
                <w:szCs w:val="20"/>
              </w:rPr>
            </w:pPr>
            <w:r w:rsidRPr="00DD681E">
              <w:rPr>
                <w:szCs w:val="20"/>
              </w:rPr>
              <w:t xml:space="preserve">Finanţare din fonduri publice. </w:t>
            </w:r>
          </w:p>
          <w:p w14:paraId="0DDD69C3" w14:textId="77777777" w:rsidR="00EC3D5B" w:rsidRPr="00DD681E" w:rsidRDefault="00EC3D5B" w:rsidP="002849B3">
            <w:pPr>
              <w:spacing w:before="0" w:after="0"/>
              <w:ind w:left="142" w:right="142"/>
              <w:jc w:val="both"/>
              <w:rPr>
                <w:szCs w:val="20"/>
              </w:rPr>
            </w:pPr>
            <w:r w:rsidRPr="00DD681E">
              <w:rPr>
                <w:szCs w:val="20"/>
              </w:rPr>
              <w:t>Fondurile publice reprezintă sumele alocate de la bugetul de stat, bugetul asigurărilor sociale de stat, bugetele fondurilor speciale, bugetul trezoreriei statului, bugetele instituţiilor publice autonome, bugetele instituţiilor publice finanţate integral sau parţial din bugetul de stat, bugetul asigurărilor sociale de stat şi bugetele fondurilor speciale, după caz, bugetele instituţiilor publice finanţate integral din venituri proprii, bugetul fondurilor provenite din credite externe contractate sau garantate de stat şi ale căror rambursare, dobânzi şi alte costuri se asigură din fonduri publice; bugetul fondurilor externe nerambursabile</w:t>
            </w:r>
            <w:r w:rsidRPr="00DD681E">
              <w:rPr>
                <w:rStyle w:val="FootnoteReference"/>
                <w:szCs w:val="20"/>
              </w:rPr>
              <w:footnoteReference w:id="2"/>
            </w:r>
            <w:r w:rsidRPr="00DD681E">
              <w:rPr>
                <w:szCs w:val="20"/>
              </w:rPr>
              <w:t xml:space="preserve">. </w:t>
            </w:r>
          </w:p>
          <w:p w14:paraId="022F0C39" w14:textId="77777777" w:rsidR="00EC3D5B" w:rsidRPr="00DD681E" w:rsidRDefault="00EC3D5B" w:rsidP="002849B3">
            <w:pPr>
              <w:spacing w:before="0" w:after="0"/>
              <w:ind w:left="142" w:right="142"/>
              <w:jc w:val="both"/>
              <w:rPr>
                <w:rFonts w:eastAsia="Arial Unicode MS"/>
                <w:szCs w:val="20"/>
              </w:rPr>
            </w:pPr>
            <w:r w:rsidRPr="00DD681E">
              <w:rPr>
                <w:szCs w:val="20"/>
              </w:rPr>
              <w:t xml:space="preserve">Fonduri publice locale reprezintă sumele alocate de la bugetele locale ale comunelor, oraşelor, municipiilor, sectoarelor municipiului Bucureşti, judeţelor şi municipiului Bucureşti, bugetele instituţiilor publice finanţate integral sau parţial din bugetele locale, după caz, bugetele instituţiilor publice finanţate integral din venituri proprii, bugetul </w:t>
            </w:r>
            <w:r w:rsidRPr="00DD681E">
              <w:rPr>
                <w:szCs w:val="20"/>
              </w:rPr>
              <w:lastRenderedPageBreak/>
              <w:t>împrumuturilor externe şi interne, pentru care rambursarea, plata dobânzilor, comisioanelor, spezelor şi a altor costuri se asigură din bugetele locale (şi care provin din: împrumuturi externe contractate de stat şi subîmprumutate autorităţilor administraţiei publice locale şi/sau agenţilor economici şi serviciilor publice din subordinea acestora), împrumuturi contractate de autorităţile administraţiei publice locale şi garantate de stat, împrumuturi externe şi/sau interne contractate sau garantate de autorităţile administraţiei publice locale, bugetul fondurilor externe nerambursabile</w:t>
            </w:r>
            <w:r w:rsidRPr="00DD681E">
              <w:rPr>
                <w:rStyle w:val="FootnoteReference"/>
                <w:szCs w:val="20"/>
              </w:rPr>
              <w:footnoteReference w:id="3"/>
            </w:r>
            <w:r w:rsidRPr="00DD681E">
              <w:rPr>
                <w:szCs w:val="20"/>
              </w:rPr>
              <w:t>.</w:t>
            </w:r>
          </w:p>
        </w:tc>
      </w:tr>
      <w:tr w:rsidR="00E11CA8" w:rsidRPr="00DD681E" w14:paraId="7C050669" w14:textId="77777777" w:rsidTr="00E11CA8">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024CD1EA" w14:textId="77777777" w:rsidR="00E11CA8" w:rsidRPr="00DD681E" w:rsidRDefault="00E11CA8" w:rsidP="002849B3">
            <w:pPr>
              <w:pStyle w:val="Normal1"/>
              <w:spacing w:before="0" w:after="0"/>
              <w:ind w:left="181" w:right="221"/>
              <w:rPr>
                <w:rFonts w:cs="Arial"/>
                <w:szCs w:val="20"/>
              </w:rPr>
            </w:pPr>
            <w:r w:rsidRPr="00DD681E">
              <w:rPr>
                <w:rFonts w:cs="Arial"/>
                <w:szCs w:val="20"/>
              </w:rPr>
              <w:lastRenderedPageBreak/>
              <w:t>Insolvenţă</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728A177B" w14:textId="7FC34332" w:rsidR="00A757CA" w:rsidRPr="00A757CA" w:rsidRDefault="00A757CA" w:rsidP="00A757CA">
            <w:pPr>
              <w:spacing w:before="0" w:after="0"/>
              <w:ind w:left="142" w:right="142"/>
              <w:jc w:val="both"/>
              <w:rPr>
                <w:szCs w:val="20"/>
              </w:rPr>
            </w:pPr>
            <w:r>
              <w:rPr>
                <w:szCs w:val="20"/>
              </w:rPr>
              <w:t>Acea</w:t>
            </w:r>
            <w:r w:rsidRPr="00A757CA">
              <w:rPr>
                <w:szCs w:val="20"/>
              </w:rPr>
              <w:t xml:space="preserve"> stare a patrimoniului debitorului care se caracterizează prin insuficienţa fondurilor băneşti disponibile pentru plata datoriilor certe, lichide şi exigibile, astfel:</w:t>
            </w:r>
          </w:p>
          <w:p w14:paraId="36B3BDF9" w14:textId="77777777" w:rsidR="00A757CA" w:rsidRPr="00A757CA" w:rsidRDefault="00A757CA" w:rsidP="00A757CA">
            <w:pPr>
              <w:spacing w:before="0" w:after="0"/>
              <w:ind w:left="142" w:right="142"/>
              <w:jc w:val="both"/>
              <w:rPr>
                <w:szCs w:val="20"/>
              </w:rPr>
            </w:pPr>
            <w:r w:rsidRPr="00A757CA">
              <w:rPr>
                <w:szCs w:val="20"/>
              </w:rPr>
              <w:t>a) insolvenţa debitorului se prezumă atunci când acesta, după 60 de zile de la scadenţă, nu a plătit datoria sa faţă de creditor; prezumţia este relativă;</w:t>
            </w:r>
          </w:p>
          <w:p w14:paraId="26E360CB" w14:textId="00F5D42C" w:rsidR="00E11CA8" w:rsidRPr="00A757CA" w:rsidRDefault="00A757CA" w:rsidP="00A757CA">
            <w:pPr>
              <w:spacing w:before="0" w:after="0"/>
              <w:ind w:left="142" w:right="142"/>
              <w:jc w:val="both"/>
              <w:rPr>
                <w:szCs w:val="20"/>
              </w:rPr>
            </w:pPr>
            <w:r w:rsidRPr="00A757CA">
              <w:rPr>
                <w:szCs w:val="20"/>
              </w:rPr>
              <w:t>b) insolvenţa este iminentă atunci când se dovedeşte că debitorul nu va putea plăti la scadenţă datoriile exigibile angajate, cu fondurile băneşti disponibile la data scadenţei;</w:t>
            </w:r>
          </w:p>
        </w:tc>
      </w:tr>
      <w:tr w:rsidR="00EC3D5B" w:rsidRPr="00DD681E" w14:paraId="6E4992EB" w14:textId="77777777" w:rsidTr="00765794">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67D3F2F6" w14:textId="77777777" w:rsidR="00EC3D5B" w:rsidRPr="00DD681E" w:rsidRDefault="00EC3D5B" w:rsidP="002849B3">
            <w:pPr>
              <w:spacing w:before="0" w:after="0"/>
              <w:ind w:left="181" w:right="221"/>
              <w:jc w:val="both"/>
              <w:rPr>
                <w:szCs w:val="20"/>
              </w:rPr>
            </w:pPr>
            <w:r w:rsidRPr="00DD681E">
              <w:rPr>
                <w:szCs w:val="20"/>
              </w:rPr>
              <w:t>Pre-finanţare</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491CBB48" w14:textId="77777777" w:rsidR="00EC3D5B" w:rsidRPr="00DD681E" w:rsidRDefault="009D5303" w:rsidP="002849B3">
            <w:pPr>
              <w:spacing w:before="0" w:after="0"/>
              <w:ind w:left="142" w:right="142"/>
              <w:jc w:val="both"/>
              <w:rPr>
                <w:szCs w:val="20"/>
              </w:rPr>
            </w:pPr>
            <w:r w:rsidRPr="00DD681E">
              <w:rPr>
                <w:szCs w:val="20"/>
              </w:rPr>
              <w:t xml:space="preserve">Sumele transferate din bugetul de stat sau din instrumente structurale către un beneficiar, dacă acest transfer nu se realizează în cadrul unui proiect care intră sub incidenţa ajutorului de stat/de minimis, prin plată directă sau prin plată indirectă, de regulă în stadiul iniţial de implementare a proiectelor, în baza unui contract de finanţare încheiat între beneficiar şi Autoritatea de management/Organismul intermediar responsabilă/responsabil, în vederea asigurării derulării corespunzătoare a proiectelor </w:t>
            </w:r>
          </w:p>
        </w:tc>
      </w:tr>
    </w:tbl>
    <w:p w14:paraId="17963271" w14:textId="77777777" w:rsidR="00EC3D5B" w:rsidRPr="00DD681E" w:rsidRDefault="00EC3D5B" w:rsidP="002849B3">
      <w:pPr>
        <w:spacing w:before="0" w:after="0"/>
        <w:jc w:val="both"/>
        <w:rPr>
          <w:szCs w:val="20"/>
        </w:rPr>
      </w:pPr>
    </w:p>
    <w:p w14:paraId="7819D045" w14:textId="77777777" w:rsidR="00EC3D5B" w:rsidRPr="00DD681E" w:rsidRDefault="00EC3D5B" w:rsidP="002849B3">
      <w:pPr>
        <w:spacing w:before="0" w:after="0"/>
        <w:jc w:val="both"/>
        <w:rPr>
          <w:b/>
          <w:bCs/>
          <w:szCs w:val="20"/>
        </w:rPr>
      </w:pPr>
    </w:p>
    <w:p w14:paraId="1157E240" w14:textId="77777777" w:rsidR="004C397F" w:rsidRPr="00DD681E" w:rsidRDefault="004C397F" w:rsidP="002849B3">
      <w:pPr>
        <w:spacing w:before="0" w:after="0"/>
        <w:jc w:val="both"/>
        <w:rPr>
          <w:b/>
          <w:bCs/>
          <w:szCs w:val="20"/>
        </w:rPr>
      </w:pPr>
      <w:r w:rsidRPr="00DD681E">
        <w:rPr>
          <w:b/>
          <w:bCs/>
          <w:szCs w:val="20"/>
        </w:rPr>
        <w:t>Instrumente financiare</w:t>
      </w:r>
    </w:p>
    <w:tbl>
      <w:tblPr>
        <w:tblW w:w="9195" w:type="dxa"/>
        <w:tblBorders>
          <w:top w:val="single" w:sz="4" w:space="0" w:color="333333"/>
          <w:bottom w:val="single" w:sz="4" w:space="0" w:color="333333"/>
          <w:insideH w:val="single" w:sz="4" w:space="0" w:color="333333"/>
        </w:tblBorders>
        <w:tblLayout w:type="fixed"/>
        <w:tblCellMar>
          <w:left w:w="0" w:type="dxa"/>
          <w:right w:w="0" w:type="dxa"/>
        </w:tblCellMar>
        <w:tblLook w:val="04A0" w:firstRow="1" w:lastRow="0" w:firstColumn="1" w:lastColumn="0" w:noHBand="0" w:noVBand="1"/>
      </w:tblPr>
      <w:tblGrid>
        <w:gridCol w:w="2231"/>
        <w:gridCol w:w="6964"/>
      </w:tblGrid>
      <w:tr w:rsidR="004C397F" w:rsidRPr="00DD681E" w14:paraId="5678AA83" w14:textId="77777777" w:rsidTr="004C397F">
        <w:tc>
          <w:tcPr>
            <w:tcW w:w="2231" w:type="dxa"/>
            <w:tcBorders>
              <w:top w:val="single" w:sz="4" w:space="0" w:color="333333"/>
              <w:left w:val="nil"/>
              <w:bottom w:val="single" w:sz="4" w:space="0" w:color="333333"/>
              <w:right w:val="nil"/>
            </w:tcBorders>
            <w:tcMar>
              <w:top w:w="16" w:type="dxa"/>
              <w:left w:w="16" w:type="dxa"/>
              <w:bottom w:w="0" w:type="dxa"/>
              <w:right w:w="16" w:type="dxa"/>
            </w:tcMar>
          </w:tcPr>
          <w:p w14:paraId="738F7C66" w14:textId="77777777" w:rsidR="004C397F" w:rsidRPr="00DD681E" w:rsidRDefault="004C397F" w:rsidP="002849B3">
            <w:pPr>
              <w:spacing w:before="0" w:after="0"/>
              <w:ind w:left="181" w:right="221"/>
              <w:jc w:val="both"/>
              <w:rPr>
                <w:szCs w:val="20"/>
              </w:rPr>
            </w:pPr>
            <w:r w:rsidRPr="00DD681E">
              <w:rPr>
                <w:szCs w:val="20"/>
              </w:rPr>
              <w:t xml:space="preserve">Instrument financiar </w:t>
            </w:r>
          </w:p>
        </w:tc>
        <w:tc>
          <w:tcPr>
            <w:tcW w:w="6964" w:type="dxa"/>
            <w:tcBorders>
              <w:top w:val="single" w:sz="4" w:space="0" w:color="333333"/>
              <w:left w:val="nil"/>
              <w:bottom w:val="single" w:sz="4" w:space="0" w:color="333333"/>
              <w:right w:val="nil"/>
            </w:tcBorders>
            <w:tcMar>
              <w:top w:w="16" w:type="dxa"/>
              <w:left w:w="16" w:type="dxa"/>
              <w:bottom w:w="0" w:type="dxa"/>
              <w:right w:w="16" w:type="dxa"/>
            </w:tcMar>
          </w:tcPr>
          <w:p w14:paraId="62A45C60" w14:textId="77777777" w:rsidR="004C397F" w:rsidRPr="00DD681E" w:rsidRDefault="004C397F" w:rsidP="002849B3">
            <w:pPr>
              <w:spacing w:before="0" w:after="0"/>
              <w:jc w:val="both"/>
              <w:rPr>
                <w:szCs w:val="20"/>
              </w:rPr>
            </w:pPr>
            <w:r w:rsidRPr="00DD681E">
              <w:rPr>
                <w:szCs w:val="20"/>
              </w:rPr>
              <w:t>Instrumentele financiare reprezintă un mod eficient de mobilizare a resurselor din cadrul politicii de coeziune în vederea realizării obiectivelor strategiei Europa 2020. Ţintite către proiecte cu potenţială viabilitate economică, instrumentele financiare oferă sprijin investitorilor prin împrumuturi, garanţii, investiţii de capital şi alte mecanisme purtătoare de risc, care pot fi combinate cu asistenţă tehnică, subvenţii la dobândă sau contribuţii la comisioanele de garantare în cadrul aceleiași operaţiuni. Instrumentele financiare care sunt utilizate din fondurile POR sunt identificate în baza unei evaluări ex-ante elaborate de Fondul European de Investiţii.</w:t>
            </w:r>
          </w:p>
        </w:tc>
      </w:tr>
    </w:tbl>
    <w:p w14:paraId="6E32430C" w14:textId="77777777" w:rsidR="004C397F" w:rsidRPr="00DD681E" w:rsidRDefault="004C397F" w:rsidP="002849B3">
      <w:pPr>
        <w:spacing w:before="0" w:after="0"/>
        <w:jc w:val="both"/>
        <w:rPr>
          <w:b/>
          <w:bCs/>
          <w:szCs w:val="20"/>
        </w:rPr>
      </w:pPr>
    </w:p>
    <w:p w14:paraId="19430CF0" w14:textId="77777777" w:rsidR="00EC3D5B" w:rsidRPr="00DD681E" w:rsidRDefault="00EC3D5B" w:rsidP="002849B3">
      <w:pPr>
        <w:spacing w:before="0" w:after="0"/>
        <w:jc w:val="both"/>
        <w:rPr>
          <w:b/>
          <w:bCs/>
          <w:szCs w:val="20"/>
        </w:rPr>
      </w:pPr>
      <w:r w:rsidRPr="00DD681E">
        <w:rPr>
          <w:b/>
          <w:bCs/>
          <w:szCs w:val="20"/>
        </w:rPr>
        <w:t>Ajutor de stat</w:t>
      </w:r>
    </w:p>
    <w:p w14:paraId="3C54041E" w14:textId="77777777" w:rsidR="00EC3D5B" w:rsidRPr="00DD681E" w:rsidRDefault="00EC3D5B" w:rsidP="002849B3">
      <w:pPr>
        <w:spacing w:before="0" w:after="0"/>
        <w:jc w:val="both"/>
        <w:rPr>
          <w:b/>
          <w:bCs/>
          <w:szCs w:val="20"/>
        </w:rPr>
      </w:pPr>
    </w:p>
    <w:tbl>
      <w:tblPr>
        <w:tblW w:w="9195" w:type="dxa"/>
        <w:tblBorders>
          <w:top w:val="single" w:sz="4" w:space="0" w:color="333333"/>
          <w:bottom w:val="single" w:sz="4" w:space="0" w:color="333333"/>
          <w:insideH w:val="single" w:sz="4" w:space="0" w:color="333333"/>
        </w:tblBorders>
        <w:tblLayout w:type="fixed"/>
        <w:tblCellMar>
          <w:left w:w="0" w:type="dxa"/>
          <w:right w:w="0" w:type="dxa"/>
        </w:tblCellMar>
        <w:tblLook w:val="04A0" w:firstRow="1" w:lastRow="0" w:firstColumn="1" w:lastColumn="0" w:noHBand="0" w:noVBand="1"/>
      </w:tblPr>
      <w:tblGrid>
        <w:gridCol w:w="2231"/>
        <w:gridCol w:w="6605"/>
        <w:gridCol w:w="359"/>
      </w:tblGrid>
      <w:tr w:rsidR="00EC3D5B" w:rsidRPr="00DD681E" w14:paraId="2F01861A" w14:textId="77777777" w:rsidTr="00AE1373">
        <w:tc>
          <w:tcPr>
            <w:tcW w:w="2231" w:type="dxa"/>
            <w:tcBorders>
              <w:top w:val="single" w:sz="4" w:space="0" w:color="333333"/>
              <w:left w:val="nil"/>
              <w:bottom w:val="single" w:sz="4" w:space="0" w:color="333333"/>
              <w:right w:val="nil"/>
            </w:tcBorders>
            <w:tcMar>
              <w:top w:w="16" w:type="dxa"/>
              <w:left w:w="16" w:type="dxa"/>
              <w:bottom w:w="0" w:type="dxa"/>
              <w:right w:w="16" w:type="dxa"/>
            </w:tcMar>
            <w:hideMark/>
          </w:tcPr>
          <w:p w14:paraId="7E2EBDD3" w14:textId="77777777" w:rsidR="00EC3D5B" w:rsidRPr="00DD681E" w:rsidRDefault="00EC3D5B" w:rsidP="002849B3">
            <w:pPr>
              <w:spacing w:before="0" w:after="0"/>
              <w:ind w:left="181" w:right="221"/>
              <w:jc w:val="both"/>
              <w:rPr>
                <w:szCs w:val="20"/>
              </w:rPr>
            </w:pPr>
            <w:r w:rsidRPr="00DD681E">
              <w:rPr>
                <w:szCs w:val="20"/>
              </w:rPr>
              <w:t>Active totale</w:t>
            </w:r>
          </w:p>
        </w:tc>
        <w:tc>
          <w:tcPr>
            <w:tcW w:w="6964" w:type="dxa"/>
            <w:gridSpan w:val="2"/>
            <w:tcBorders>
              <w:top w:val="single" w:sz="4" w:space="0" w:color="333333"/>
              <w:left w:val="nil"/>
              <w:bottom w:val="single" w:sz="4" w:space="0" w:color="333333"/>
              <w:right w:val="nil"/>
            </w:tcBorders>
            <w:tcMar>
              <w:top w:w="16" w:type="dxa"/>
              <w:left w:w="16" w:type="dxa"/>
              <w:bottom w:w="0" w:type="dxa"/>
              <w:right w:w="16" w:type="dxa"/>
            </w:tcMar>
            <w:hideMark/>
          </w:tcPr>
          <w:p w14:paraId="62353A11" w14:textId="77777777" w:rsidR="00EC3D5B" w:rsidRPr="00DD681E" w:rsidRDefault="00EC3D5B" w:rsidP="002849B3">
            <w:pPr>
              <w:spacing w:before="0" w:after="0"/>
              <w:ind w:left="142" w:right="142"/>
              <w:jc w:val="both"/>
              <w:rPr>
                <w:szCs w:val="20"/>
              </w:rPr>
            </w:pPr>
            <w:r w:rsidRPr="00DD681E">
              <w:rPr>
                <w:szCs w:val="20"/>
              </w:rPr>
              <w:t>Activele totale se referă la valoarea bunurilor unei întreprinderi: active imobilizate (imobilizări necorporale, corporale şi financiare) + active circulante (stocuri, producţia în curs de executare, creanţe şi alte valori în curs de valorificare) + cheltuieli în avans.</w:t>
            </w:r>
          </w:p>
        </w:tc>
      </w:tr>
      <w:tr w:rsidR="00EC3D5B" w:rsidRPr="00DD681E" w14:paraId="6E4E99CC" w14:textId="77777777" w:rsidTr="00AE1373">
        <w:tc>
          <w:tcPr>
            <w:tcW w:w="2231" w:type="dxa"/>
            <w:tcBorders>
              <w:top w:val="single" w:sz="4" w:space="0" w:color="333333"/>
              <w:left w:val="nil"/>
              <w:bottom w:val="single" w:sz="4" w:space="0" w:color="333333"/>
              <w:right w:val="nil"/>
            </w:tcBorders>
            <w:tcMar>
              <w:top w:w="16" w:type="dxa"/>
              <w:left w:w="16" w:type="dxa"/>
              <w:bottom w:w="0" w:type="dxa"/>
              <w:right w:w="16" w:type="dxa"/>
            </w:tcMar>
            <w:hideMark/>
          </w:tcPr>
          <w:p w14:paraId="68826ACF" w14:textId="77777777" w:rsidR="00EC3D5B" w:rsidRPr="00DD681E" w:rsidRDefault="00EC3D5B" w:rsidP="002849B3">
            <w:pPr>
              <w:spacing w:before="0" w:after="0"/>
              <w:ind w:left="181" w:right="221"/>
              <w:jc w:val="both"/>
              <w:rPr>
                <w:szCs w:val="20"/>
              </w:rPr>
            </w:pPr>
            <w:r w:rsidRPr="00DD681E">
              <w:rPr>
                <w:szCs w:val="20"/>
              </w:rPr>
              <w:t>Ajutor de stat</w:t>
            </w:r>
          </w:p>
        </w:tc>
        <w:tc>
          <w:tcPr>
            <w:tcW w:w="6964" w:type="dxa"/>
            <w:gridSpan w:val="2"/>
            <w:tcBorders>
              <w:top w:val="single" w:sz="4" w:space="0" w:color="333333"/>
              <w:left w:val="nil"/>
              <w:bottom w:val="single" w:sz="4" w:space="0" w:color="333333"/>
              <w:right w:val="nil"/>
            </w:tcBorders>
            <w:tcMar>
              <w:top w:w="16" w:type="dxa"/>
              <w:left w:w="16" w:type="dxa"/>
              <w:bottom w:w="0" w:type="dxa"/>
              <w:right w:w="16" w:type="dxa"/>
            </w:tcMar>
            <w:hideMark/>
          </w:tcPr>
          <w:p w14:paraId="6E487F75" w14:textId="77777777" w:rsidR="00EC3D5B" w:rsidRPr="00DD681E" w:rsidRDefault="00EC3D5B" w:rsidP="002849B3">
            <w:pPr>
              <w:spacing w:before="0" w:after="0"/>
              <w:ind w:left="142" w:right="142"/>
              <w:jc w:val="both"/>
              <w:rPr>
                <w:szCs w:val="20"/>
              </w:rPr>
            </w:pPr>
            <w:r w:rsidRPr="00DD681E">
              <w:rPr>
                <w:szCs w:val="20"/>
              </w:rPr>
              <w:t>Orice ajutor acordat de stat sau din resurse ale statului în orice formă care distorsionează sau ameninţă să distorsioneze concurenţa prin favorizarea unor întreprinderi sau producţia anumitor bunuri, în măsura în care afectează comerţul între statele membre (vezi şi „Schemă pentru ajutor de stat”)</w:t>
            </w:r>
          </w:p>
        </w:tc>
      </w:tr>
      <w:tr w:rsidR="004C397F" w:rsidRPr="00DD681E" w14:paraId="61CEFD8B" w14:textId="77777777" w:rsidTr="00AE1373">
        <w:tc>
          <w:tcPr>
            <w:tcW w:w="2231" w:type="dxa"/>
            <w:tcBorders>
              <w:top w:val="single" w:sz="4" w:space="0" w:color="333333"/>
              <w:left w:val="nil"/>
              <w:bottom w:val="single" w:sz="4" w:space="0" w:color="333333"/>
              <w:right w:val="nil"/>
            </w:tcBorders>
            <w:tcMar>
              <w:top w:w="16" w:type="dxa"/>
              <w:left w:w="16" w:type="dxa"/>
              <w:bottom w:w="0" w:type="dxa"/>
              <w:right w:w="16" w:type="dxa"/>
            </w:tcMar>
          </w:tcPr>
          <w:p w14:paraId="586F0F55" w14:textId="77777777" w:rsidR="004C397F" w:rsidRPr="00DD681E" w:rsidRDefault="004C397F" w:rsidP="002849B3">
            <w:pPr>
              <w:spacing w:before="0" w:after="0"/>
              <w:ind w:left="181" w:right="221"/>
              <w:jc w:val="both"/>
              <w:rPr>
                <w:szCs w:val="20"/>
              </w:rPr>
            </w:pPr>
            <w:r w:rsidRPr="00DD681E">
              <w:rPr>
                <w:szCs w:val="20"/>
              </w:rPr>
              <w:t>Ajutor de stat regional</w:t>
            </w:r>
          </w:p>
        </w:tc>
        <w:tc>
          <w:tcPr>
            <w:tcW w:w="6964" w:type="dxa"/>
            <w:gridSpan w:val="2"/>
            <w:tcBorders>
              <w:top w:val="single" w:sz="4" w:space="0" w:color="333333"/>
              <w:left w:val="nil"/>
              <w:bottom w:val="single" w:sz="4" w:space="0" w:color="333333"/>
              <w:right w:val="nil"/>
            </w:tcBorders>
            <w:tcMar>
              <w:top w:w="16" w:type="dxa"/>
              <w:left w:w="16" w:type="dxa"/>
              <w:bottom w:w="0" w:type="dxa"/>
              <w:right w:w="16" w:type="dxa"/>
            </w:tcMar>
          </w:tcPr>
          <w:p w14:paraId="37AC2332" w14:textId="77777777" w:rsidR="004C397F" w:rsidRPr="00DD681E" w:rsidRDefault="004C397F" w:rsidP="002849B3">
            <w:pPr>
              <w:autoSpaceDE w:val="0"/>
              <w:autoSpaceDN w:val="0"/>
              <w:adjustRightInd w:val="0"/>
              <w:spacing w:before="0" w:after="0"/>
              <w:jc w:val="both"/>
              <w:rPr>
                <w:rFonts w:cs="EUAlbertina-Regu"/>
                <w:szCs w:val="20"/>
                <w:lang w:eastAsia="ro-RO"/>
              </w:rPr>
            </w:pPr>
            <w:r w:rsidRPr="00DD681E">
              <w:rPr>
                <w:rFonts w:cs="EUAlbertina-Regu"/>
                <w:szCs w:val="20"/>
                <w:lang w:eastAsia="ro-RO"/>
              </w:rPr>
              <w:t xml:space="preserve">Prin contracararea handicapurilor care afectează regiunile defavorizate, ajutoarele regionale promovează coeziunea economică, socială și teritorială </w:t>
            </w:r>
            <w:r w:rsidRPr="00DD681E">
              <w:rPr>
                <w:rFonts w:cs="EUAlbertina-Regu"/>
                <w:szCs w:val="20"/>
                <w:lang w:eastAsia="ro-RO"/>
              </w:rPr>
              <w:lastRenderedPageBreak/>
              <w:t xml:space="preserve">a statelor membre și a Uniunii în ansamblul său. Ajutoarele regionale au ca obiectiv susținerea dezvoltării zonelor celor mai defavorizate, prin încurajarea investițiilor și a creării de locuri de muncă într-un context durabil. Pot fi acordate ajutoare regionale pentru a promova înființarea de noi unități, extinderea capacității unei unități existente, diversificarea producției unei unități sau o schimbare fundamentală în procesul general de producție al unei unități existente. </w:t>
            </w:r>
          </w:p>
        </w:tc>
      </w:tr>
      <w:tr w:rsidR="00B64AB9" w:rsidRPr="00DD681E" w14:paraId="39A4F08A" w14:textId="77777777" w:rsidTr="00AE1373">
        <w:tc>
          <w:tcPr>
            <w:tcW w:w="2231" w:type="dxa"/>
            <w:tcBorders>
              <w:top w:val="single" w:sz="4" w:space="0" w:color="333333"/>
              <w:left w:val="nil"/>
              <w:bottom w:val="single" w:sz="4" w:space="0" w:color="333333"/>
              <w:right w:val="nil"/>
            </w:tcBorders>
            <w:tcMar>
              <w:top w:w="16" w:type="dxa"/>
              <w:left w:w="16" w:type="dxa"/>
              <w:bottom w:w="0" w:type="dxa"/>
              <w:right w:w="16" w:type="dxa"/>
            </w:tcMar>
            <w:hideMark/>
          </w:tcPr>
          <w:p w14:paraId="5CE1A92B" w14:textId="77777777" w:rsidR="00B64AB9" w:rsidRPr="00DD681E" w:rsidRDefault="00B64AB9" w:rsidP="002849B3">
            <w:pPr>
              <w:spacing w:before="0" w:after="0"/>
              <w:ind w:left="181" w:right="221"/>
              <w:jc w:val="both"/>
              <w:rPr>
                <w:szCs w:val="20"/>
              </w:rPr>
            </w:pPr>
            <w:r w:rsidRPr="00DD681E">
              <w:rPr>
                <w:szCs w:val="20"/>
              </w:rPr>
              <w:lastRenderedPageBreak/>
              <w:t>Ajutor de minimis</w:t>
            </w:r>
          </w:p>
        </w:tc>
        <w:tc>
          <w:tcPr>
            <w:tcW w:w="6964" w:type="dxa"/>
            <w:gridSpan w:val="2"/>
            <w:tcBorders>
              <w:top w:val="single" w:sz="4" w:space="0" w:color="333333"/>
              <w:left w:val="nil"/>
              <w:bottom w:val="single" w:sz="4" w:space="0" w:color="333333"/>
              <w:right w:val="nil"/>
            </w:tcBorders>
            <w:tcMar>
              <w:top w:w="16" w:type="dxa"/>
              <w:left w:w="16" w:type="dxa"/>
              <w:bottom w:w="0" w:type="dxa"/>
              <w:right w:w="16" w:type="dxa"/>
            </w:tcMar>
            <w:hideMark/>
          </w:tcPr>
          <w:p w14:paraId="5823B122" w14:textId="77777777" w:rsidR="00B64AB9" w:rsidRPr="00DD681E" w:rsidRDefault="00B64AB9" w:rsidP="002849B3">
            <w:pPr>
              <w:spacing w:before="0" w:after="0"/>
              <w:ind w:left="142" w:right="142"/>
              <w:jc w:val="both"/>
              <w:rPr>
                <w:szCs w:val="20"/>
              </w:rPr>
            </w:pPr>
            <w:r w:rsidRPr="00DD681E">
              <w:rPr>
                <w:szCs w:val="20"/>
              </w:rPr>
              <w:t>Valoarea maximă a ajutorului, în regim de minimis, ce poate fi acordat unei întreprinderi, din fonduri publice, într-o perioadă de până la 3 ani fiscali (ultimii 2 ani fiscali înainte de data depunerii cererii de finanţare şi anul curent depunerii cererii de finanţare) este de 200.000 de euro, în conformitate cu reglementările comunitare privind concurenţa şi ajutorul de stat.</w:t>
            </w:r>
          </w:p>
          <w:p w14:paraId="6C4F4F5F" w14:textId="77777777" w:rsidR="00B64AB9" w:rsidRPr="00DD681E" w:rsidRDefault="00B64AB9" w:rsidP="002849B3">
            <w:pPr>
              <w:spacing w:before="0" w:after="0"/>
              <w:ind w:left="142" w:right="142"/>
              <w:jc w:val="both"/>
              <w:rPr>
                <w:szCs w:val="20"/>
              </w:rPr>
            </w:pPr>
            <w:r w:rsidRPr="00DD681E">
              <w:rPr>
                <w:szCs w:val="20"/>
              </w:rPr>
              <w:t>În cazul întreprinderilor din domeniul transportului rutier (transportul de marfă şi transportul de călători pe cale rutieră), valoarea maximă a ajutorului ce poate fi acordat în regim de minimis este de 100.000 de euro.</w:t>
            </w:r>
          </w:p>
        </w:tc>
      </w:tr>
      <w:tr w:rsidR="00AE1373" w:rsidRPr="00DD681E" w14:paraId="7A56282F" w14:textId="77777777" w:rsidTr="00AE1373">
        <w:tc>
          <w:tcPr>
            <w:tcW w:w="2231" w:type="dxa"/>
            <w:tcBorders>
              <w:top w:val="single" w:sz="4" w:space="0" w:color="333333"/>
              <w:left w:val="nil"/>
              <w:bottom w:val="single" w:sz="4" w:space="0" w:color="333333"/>
              <w:right w:val="nil"/>
            </w:tcBorders>
            <w:tcMar>
              <w:top w:w="16" w:type="dxa"/>
              <w:left w:w="16" w:type="dxa"/>
              <w:bottom w:w="0" w:type="dxa"/>
              <w:right w:w="16" w:type="dxa"/>
            </w:tcMar>
            <w:hideMark/>
          </w:tcPr>
          <w:p w14:paraId="07ACAFE2" w14:textId="77777777" w:rsidR="00AE1373" w:rsidRPr="00DD681E" w:rsidRDefault="00AE1373" w:rsidP="002849B3">
            <w:pPr>
              <w:spacing w:before="0" w:after="0"/>
              <w:ind w:left="181" w:right="221"/>
              <w:jc w:val="both"/>
              <w:rPr>
                <w:szCs w:val="20"/>
              </w:rPr>
            </w:pPr>
            <w:r w:rsidRPr="00DD681E">
              <w:rPr>
                <w:szCs w:val="20"/>
              </w:rPr>
              <w:t>Asociaţii care reprezintă mediul de afaceri (AS)</w:t>
            </w:r>
          </w:p>
        </w:tc>
        <w:tc>
          <w:tcPr>
            <w:tcW w:w="6964" w:type="dxa"/>
            <w:gridSpan w:val="2"/>
            <w:tcBorders>
              <w:top w:val="single" w:sz="4" w:space="0" w:color="333333"/>
              <w:left w:val="nil"/>
              <w:bottom w:val="single" w:sz="4" w:space="0" w:color="333333"/>
              <w:right w:val="nil"/>
            </w:tcBorders>
            <w:tcMar>
              <w:top w:w="16" w:type="dxa"/>
              <w:left w:w="16" w:type="dxa"/>
              <w:bottom w:w="0" w:type="dxa"/>
              <w:right w:w="16" w:type="dxa"/>
            </w:tcMar>
            <w:hideMark/>
          </w:tcPr>
          <w:p w14:paraId="06E42B1A" w14:textId="77777777" w:rsidR="00AE1373" w:rsidRPr="00DD681E" w:rsidRDefault="00AE1373" w:rsidP="002849B3">
            <w:pPr>
              <w:spacing w:before="0" w:after="0"/>
              <w:ind w:left="142" w:right="142"/>
              <w:jc w:val="both"/>
              <w:rPr>
                <w:szCs w:val="20"/>
              </w:rPr>
            </w:pPr>
            <w:r w:rsidRPr="00DD681E">
              <w:rPr>
                <w:szCs w:val="20"/>
              </w:rPr>
              <w:t>În sensul acestui ghid, asociaţii constituite în baza Ordonanţei Guvernului nr. 26/2000 cu privire la asociaţii şi fundaţii şi a Legii nr. 356/2001 a patronatelor</w:t>
            </w:r>
          </w:p>
        </w:tc>
      </w:tr>
      <w:tr w:rsidR="00AE1373" w:rsidRPr="00DD681E" w14:paraId="0876E8A2" w14:textId="77777777" w:rsidTr="00AE1373">
        <w:tc>
          <w:tcPr>
            <w:tcW w:w="2231" w:type="dxa"/>
            <w:tcBorders>
              <w:top w:val="single" w:sz="4" w:space="0" w:color="333333"/>
              <w:left w:val="nil"/>
              <w:bottom w:val="single" w:sz="4" w:space="0" w:color="333333"/>
              <w:right w:val="nil"/>
            </w:tcBorders>
            <w:tcMar>
              <w:top w:w="16" w:type="dxa"/>
              <w:left w:w="16" w:type="dxa"/>
              <w:bottom w:w="0" w:type="dxa"/>
              <w:right w:w="16" w:type="dxa"/>
            </w:tcMar>
            <w:hideMark/>
          </w:tcPr>
          <w:p w14:paraId="56508590" w14:textId="77777777" w:rsidR="00AE1373" w:rsidRPr="00DD681E" w:rsidRDefault="00AE1373" w:rsidP="002849B3">
            <w:pPr>
              <w:spacing w:before="0" w:after="0"/>
              <w:ind w:left="180" w:right="219"/>
              <w:jc w:val="both"/>
              <w:rPr>
                <w:szCs w:val="20"/>
              </w:rPr>
            </w:pPr>
            <w:r w:rsidRPr="00DD681E">
              <w:rPr>
                <w:szCs w:val="20"/>
              </w:rPr>
              <w:t>Cifra de afaceri</w:t>
            </w:r>
          </w:p>
        </w:tc>
        <w:tc>
          <w:tcPr>
            <w:tcW w:w="6964" w:type="dxa"/>
            <w:gridSpan w:val="2"/>
            <w:tcBorders>
              <w:top w:val="single" w:sz="4" w:space="0" w:color="333333"/>
              <w:left w:val="nil"/>
              <w:bottom w:val="single" w:sz="4" w:space="0" w:color="333333"/>
              <w:right w:val="nil"/>
            </w:tcBorders>
            <w:tcMar>
              <w:top w:w="16" w:type="dxa"/>
              <w:left w:w="16" w:type="dxa"/>
              <w:bottom w:w="0" w:type="dxa"/>
              <w:right w:w="16" w:type="dxa"/>
            </w:tcMar>
            <w:hideMark/>
          </w:tcPr>
          <w:p w14:paraId="6A20D421" w14:textId="77777777" w:rsidR="00AE1373" w:rsidRPr="00DD681E" w:rsidRDefault="00AE1373" w:rsidP="002849B3">
            <w:pPr>
              <w:spacing w:before="0" w:after="0"/>
              <w:ind w:left="109" w:right="164"/>
              <w:jc w:val="both"/>
              <w:rPr>
                <w:szCs w:val="20"/>
              </w:rPr>
            </w:pPr>
            <w:r w:rsidRPr="00DD681E">
              <w:rPr>
                <w:szCs w:val="20"/>
              </w:rPr>
              <w:t>Cifra de afaceri anuală netă este stabilită prin calcularea veniturilor pe care întreprinderea le realizează în cursul unui an din vânzări şi servicii, după deducerea reducerilor comerciale şi a taxei pe valoarea adăugată, precum şi a altor taxe indirecte.</w:t>
            </w:r>
          </w:p>
        </w:tc>
      </w:tr>
      <w:tr w:rsidR="00F13B69" w:rsidRPr="00DD681E" w14:paraId="4BDF07A8" w14:textId="77777777" w:rsidTr="00AE1373">
        <w:tc>
          <w:tcPr>
            <w:tcW w:w="2231" w:type="dxa"/>
            <w:tcBorders>
              <w:top w:val="single" w:sz="4" w:space="0" w:color="333333"/>
              <w:left w:val="nil"/>
              <w:bottom w:val="single" w:sz="4" w:space="0" w:color="333333"/>
              <w:right w:val="nil"/>
            </w:tcBorders>
            <w:tcMar>
              <w:top w:w="16" w:type="dxa"/>
              <w:left w:w="16" w:type="dxa"/>
              <w:bottom w:w="0" w:type="dxa"/>
              <w:right w:w="16" w:type="dxa"/>
            </w:tcMar>
          </w:tcPr>
          <w:p w14:paraId="3048BC1A" w14:textId="031BEB79" w:rsidR="00F13B69" w:rsidRPr="00DD681E" w:rsidRDefault="00F13B69" w:rsidP="002849B3">
            <w:pPr>
              <w:spacing w:before="0" w:after="0"/>
              <w:ind w:left="181" w:right="221"/>
              <w:jc w:val="both"/>
              <w:rPr>
                <w:szCs w:val="20"/>
              </w:rPr>
            </w:pPr>
            <w:r>
              <w:rPr>
                <w:szCs w:val="20"/>
              </w:rPr>
              <w:t>Imobil</w:t>
            </w:r>
          </w:p>
        </w:tc>
        <w:tc>
          <w:tcPr>
            <w:tcW w:w="6964" w:type="dxa"/>
            <w:gridSpan w:val="2"/>
            <w:tcBorders>
              <w:top w:val="single" w:sz="4" w:space="0" w:color="333333"/>
              <w:left w:val="nil"/>
              <w:bottom w:val="single" w:sz="4" w:space="0" w:color="333333"/>
              <w:right w:val="nil"/>
            </w:tcBorders>
            <w:tcMar>
              <w:top w:w="16" w:type="dxa"/>
              <w:left w:w="16" w:type="dxa"/>
              <w:bottom w:w="0" w:type="dxa"/>
              <w:right w:w="16" w:type="dxa"/>
            </w:tcMar>
          </w:tcPr>
          <w:p w14:paraId="71650789" w14:textId="003140AD" w:rsidR="00F13B69" w:rsidRPr="00DD681E" w:rsidRDefault="00F13B69" w:rsidP="002849B3">
            <w:pPr>
              <w:numPr>
                <w:ilvl w:val="0"/>
                <w:numId w:val="7"/>
              </w:numPr>
              <w:spacing w:before="0" w:after="0"/>
              <w:ind w:right="164"/>
              <w:jc w:val="both"/>
              <w:rPr>
                <w:szCs w:val="20"/>
              </w:rPr>
            </w:pPr>
            <w:r>
              <w:rPr>
                <w:rStyle w:val="rvts7"/>
                <w:color w:val="000000"/>
                <w:bdr w:val="none" w:sz="0" w:space="0" w:color="auto" w:frame="1"/>
                <w:shd w:val="clear" w:color="auto" w:fill="FFFFFF"/>
              </w:rPr>
              <w:t>Terenul, cu sau fără construcţii, de pe teritoriul unei unităţi administrativ-teritoriale, aparţinând unuia sau mai multor proprietari, care se identifică printr-un număr cadastral unic.</w:t>
            </w:r>
            <w:r w:rsidR="00C3773E">
              <w:rPr>
                <w:rStyle w:val="rvts7"/>
                <w:color w:val="000000"/>
                <w:bdr w:val="none" w:sz="0" w:space="0" w:color="auto" w:frame="1"/>
                <w:shd w:val="clear" w:color="auto" w:fill="FFFFFF"/>
              </w:rPr>
              <w:t xml:space="preserve"> (conform Legii 7</w:t>
            </w:r>
            <w:r w:rsidR="00C3773E">
              <w:rPr>
                <w:rStyle w:val="rvts7"/>
                <w:color w:val="000000"/>
                <w:bdr w:val="none" w:sz="0" w:space="0" w:color="auto" w:frame="1"/>
                <w:shd w:val="clear" w:color="auto" w:fill="FFFFFF"/>
                <w:lang w:val="en-US"/>
              </w:rPr>
              <w:t>/</w:t>
            </w:r>
            <w:r w:rsidR="00C3773E">
              <w:rPr>
                <w:rStyle w:val="rvts7"/>
                <w:color w:val="000000"/>
                <w:bdr w:val="none" w:sz="0" w:space="0" w:color="auto" w:frame="1"/>
                <w:shd w:val="clear" w:color="auto" w:fill="FFFFFF"/>
              </w:rPr>
              <w:t>1996, cu modificările şi completările ulterioare)</w:t>
            </w:r>
          </w:p>
        </w:tc>
      </w:tr>
      <w:tr w:rsidR="00EC3D5B" w:rsidRPr="00DD681E" w14:paraId="24628B8C" w14:textId="77777777" w:rsidTr="00AE1373">
        <w:tc>
          <w:tcPr>
            <w:tcW w:w="2231" w:type="dxa"/>
            <w:tcBorders>
              <w:top w:val="single" w:sz="4" w:space="0" w:color="333333"/>
              <w:left w:val="nil"/>
              <w:bottom w:val="single" w:sz="4" w:space="0" w:color="333333"/>
              <w:right w:val="nil"/>
            </w:tcBorders>
            <w:tcMar>
              <w:top w:w="16" w:type="dxa"/>
              <w:left w:w="16" w:type="dxa"/>
              <w:bottom w:w="0" w:type="dxa"/>
              <w:right w:w="16" w:type="dxa"/>
            </w:tcMar>
            <w:hideMark/>
          </w:tcPr>
          <w:p w14:paraId="2D68BDFD" w14:textId="77777777" w:rsidR="00EC3D5B" w:rsidRPr="00DD681E" w:rsidRDefault="00EC3D5B" w:rsidP="002849B3">
            <w:pPr>
              <w:spacing w:before="0" w:after="0"/>
              <w:ind w:left="181" w:right="221"/>
              <w:jc w:val="both"/>
              <w:rPr>
                <w:szCs w:val="20"/>
              </w:rPr>
            </w:pPr>
            <w:r w:rsidRPr="00DD681E">
              <w:rPr>
                <w:szCs w:val="20"/>
              </w:rPr>
              <w:t>Investiţie iniţială</w:t>
            </w:r>
          </w:p>
        </w:tc>
        <w:tc>
          <w:tcPr>
            <w:tcW w:w="6964" w:type="dxa"/>
            <w:gridSpan w:val="2"/>
            <w:tcBorders>
              <w:top w:val="single" w:sz="4" w:space="0" w:color="333333"/>
              <w:left w:val="nil"/>
              <w:bottom w:val="single" w:sz="4" w:space="0" w:color="333333"/>
              <w:right w:val="nil"/>
            </w:tcBorders>
            <w:tcMar>
              <w:top w:w="16" w:type="dxa"/>
              <w:left w:w="16" w:type="dxa"/>
              <w:bottom w:w="0" w:type="dxa"/>
              <w:right w:w="16" w:type="dxa"/>
            </w:tcMar>
            <w:hideMark/>
          </w:tcPr>
          <w:p w14:paraId="264D6E2D" w14:textId="77777777" w:rsidR="009C14BB" w:rsidRPr="00DD681E" w:rsidRDefault="009C14BB" w:rsidP="002849B3">
            <w:pPr>
              <w:numPr>
                <w:ilvl w:val="0"/>
                <w:numId w:val="7"/>
              </w:numPr>
              <w:spacing w:before="0" w:after="0"/>
              <w:ind w:right="164"/>
              <w:jc w:val="both"/>
              <w:rPr>
                <w:szCs w:val="20"/>
              </w:rPr>
            </w:pPr>
            <w:r w:rsidRPr="00DD681E">
              <w:rPr>
                <w:szCs w:val="20"/>
              </w:rPr>
              <w:t>Investiţie în active corporale şi/sau necorporale referitoare la înfiinţarea unei noi unităţi, la extinderea unei unităţi existente, la diversificarea producţiei unei unităţi prin realizarea de produse noi, suplimentare sau la o schimbare fundamentală a procesului global de producţie a unei unităţi existente</w:t>
            </w:r>
          </w:p>
          <w:p w14:paraId="038870F8" w14:textId="77777777" w:rsidR="00EC3D5B" w:rsidRPr="00DD681E" w:rsidRDefault="009C14BB" w:rsidP="002849B3">
            <w:pPr>
              <w:numPr>
                <w:ilvl w:val="0"/>
                <w:numId w:val="7"/>
              </w:numPr>
              <w:spacing w:before="0" w:after="0"/>
              <w:ind w:right="164"/>
              <w:jc w:val="both"/>
              <w:rPr>
                <w:szCs w:val="20"/>
              </w:rPr>
            </w:pPr>
            <w:r w:rsidRPr="00DD681E">
              <w:rPr>
                <w:szCs w:val="20"/>
              </w:rPr>
              <w:t>Achiziţionarea unor active, în corelaţie directă cu un amplasament de producţie, în cazul în care amplasamentul respectiv este închis sau ar fi fost închis în condiţiile în care nu ar fi fost cumpărat, iar activele au fost achiziţionate de către un investitor independent.</w:t>
            </w:r>
          </w:p>
        </w:tc>
      </w:tr>
      <w:tr w:rsidR="00EC3D5B" w:rsidRPr="00DD681E" w14:paraId="0AC4BE46" w14:textId="77777777" w:rsidTr="00AE1373">
        <w:tc>
          <w:tcPr>
            <w:tcW w:w="2231" w:type="dxa"/>
            <w:tcBorders>
              <w:top w:val="single" w:sz="4" w:space="0" w:color="333333"/>
              <w:left w:val="nil"/>
              <w:bottom w:val="single" w:sz="4" w:space="0" w:color="333333"/>
              <w:right w:val="nil"/>
            </w:tcBorders>
            <w:tcMar>
              <w:top w:w="16" w:type="dxa"/>
              <w:left w:w="16" w:type="dxa"/>
              <w:bottom w:w="0" w:type="dxa"/>
              <w:right w:w="16" w:type="dxa"/>
            </w:tcMar>
            <w:hideMark/>
          </w:tcPr>
          <w:p w14:paraId="4A35C49C" w14:textId="77777777" w:rsidR="00EC3D5B" w:rsidRPr="00D61195" w:rsidRDefault="00EC3D5B" w:rsidP="002849B3">
            <w:pPr>
              <w:spacing w:before="0" w:after="0"/>
              <w:ind w:left="181" w:right="221"/>
              <w:jc w:val="both"/>
              <w:rPr>
                <w:szCs w:val="20"/>
              </w:rPr>
            </w:pPr>
            <w:r w:rsidRPr="00D61195">
              <w:rPr>
                <w:szCs w:val="20"/>
              </w:rPr>
              <w:t>Întreprindere</w:t>
            </w:r>
          </w:p>
        </w:tc>
        <w:tc>
          <w:tcPr>
            <w:tcW w:w="6964" w:type="dxa"/>
            <w:gridSpan w:val="2"/>
            <w:tcBorders>
              <w:top w:val="single" w:sz="4" w:space="0" w:color="333333"/>
              <w:left w:val="nil"/>
              <w:bottom w:val="single" w:sz="4" w:space="0" w:color="333333"/>
              <w:right w:val="nil"/>
            </w:tcBorders>
            <w:tcMar>
              <w:top w:w="16" w:type="dxa"/>
              <w:left w:w="16" w:type="dxa"/>
              <w:bottom w:w="0" w:type="dxa"/>
              <w:right w:w="16" w:type="dxa"/>
            </w:tcMar>
            <w:hideMark/>
          </w:tcPr>
          <w:p w14:paraId="0BC474E2" w14:textId="4413AFCC" w:rsidR="00EC3D5B" w:rsidRPr="00D61195" w:rsidRDefault="00D61195" w:rsidP="00D61195">
            <w:pPr>
              <w:spacing w:before="0" w:after="0"/>
              <w:ind w:left="109" w:right="164"/>
              <w:jc w:val="both"/>
              <w:rPr>
                <w:szCs w:val="20"/>
              </w:rPr>
            </w:pPr>
            <w:r w:rsidRPr="00D61195">
              <w:rPr>
                <w:szCs w:val="20"/>
              </w:rPr>
              <w:t xml:space="preserve">În sensul legi 346 din 14 iulie 2004 privind stimularea înfiinţării şi dezvoltării întreprinderilor mici şi mijlocii, prin întreprindere se înţelege orice formă de organizare a unei activităţi economice, autorizată potrivit legilor în vigoare să facă activităţi de producţie, comerţ sau prestări de servicii, în scopul obţinerii de venituri, în condiţii de concurenţă, respectiv: societăţi reglementate de </w:t>
            </w:r>
            <w:bookmarkStart w:id="1" w:name="REF23"/>
            <w:bookmarkEnd w:id="1"/>
            <w:r w:rsidRPr="00D61195">
              <w:rPr>
                <w:szCs w:val="20"/>
              </w:rPr>
              <w:t>Legea societăţilor nr. 31/1990, republicată, cu modificările şi completările ulterioare, societăţi cooperative, persoane fizice autorizate, întreprinzători titulari ai unei întreprinderi individuale şi întreprinderile familiale, autorizate potrivit dispoziţiilor legale în vigoare, care desfăşoară activităţi economice</w:t>
            </w:r>
          </w:p>
        </w:tc>
      </w:tr>
      <w:tr w:rsidR="00B64AB9" w:rsidRPr="00DD681E" w14:paraId="17DC15C5" w14:textId="77777777" w:rsidTr="00AE1373">
        <w:tc>
          <w:tcPr>
            <w:tcW w:w="2231" w:type="dxa"/>
            <w:tcBorders>
              <w:top w:val="single" w:sz="4" w:space="0" w:color="333333"/>
              <w:left w:val="nil"/>
              <w:bottom w:val="single" w:sz="4" w:space="0" w:color="333333"/>
              <w:right w:val="nil"/>
            </w:tcBorders>
            <w:tcMar>
              <w:top w:w="16" w:type="dxa"/>
              <w:left w:w="16" w:type="dxa"/>
              <w:bottom w:w="0" w:type="dxa"/>
              <w:right w:w="16" w:type="dxa"/>
            </w:tcMar>
            <w:hideMark/>
          </w:tcPr>
          <w:p w14:paraId="38C43170" w14:textId="77777777" w:rsidR="00B64AB9" w:rsidRPr="00D61195" w:rsidRDefault="00B64AB9" w:rsidP="002849B3">
            <w:pPr>
              <w:spacing w:before="0" w:after="0"/>
              <w:ind w:left="181" w:right="221"/>
              <w:jc w:val="both"/>
              <w:rPr>
                <w:szCs w:val="20"/>
              </w:rPr>
            </w:pPr>
            <w:r w:rsidRPr="00D61195">
              <w:rPr>
                <w:szCs w:val="20"/>
              </w:rPr>
              <w:t>Întreprinderi mici (inclusiv microîntreprinderi) şi mijlocii</w:t>
            </w:r>
          </w:p>
        </w:tc>
        <w:tc>
          <w:tcPr>
            <w:tcW w:w="6964" w:type="dxa"/>
            <w:gridSpan w:val="2"/>
            <w:tcBorders>
              <w:top w:val="single" w:sz="4" w:space="0" w:color="333333"/>
              <w:left w:val="nil"/>
              <w:bottom w:val="single" w:sz="4" w:space="0" w:color="333333"/>
              <w:right w:val="nil"/>
            </w:tcBorders>
            <w:tcMar>
              <w:top w:w="16" w:type="dxa"/>
              <w:left w:w="16" w:type="dxa"/>
              <w:bottom w:w="0" w:type="dxa"/>
              <w:right w:w="16" w:type="dxa"/>
            </w:tcMar>
            <w:hideMark/>
          </w:tcPr>
          <w:p w14:paraId="59A95D65" w14:textId="77777777" w:rsidR="00B64AB9" w:rsidRPr="00D61195" w:rsidRDefault="00B64AB9" w:rsidP="002849B3">
            <w:pPr>
              <w:spacing w:before="0" w:after="0"/>
              <w:ind w:left="142" w:right="142"/>
              <w:jc w:val="both"/>
              <w:rPr>
                <w:szCs w:val="20"/>
              </w:rPr>
            </w:pPr>
            <w:r w:rsidRPr="00D61195">
              <w:rPr>
                <w:szCs w:val="20"/>
              </w:rPr>
              <w:t xml:space="preserve">Întreprinderi care îndeplinesc cumulativ următoarele condiţii: </w:t>
            </w:r>
          </w:p>
          <w:p w14:paraId="5170BF03" w14:textId="77777777" w:rsidR="00B64AB9" w:rsidRPr="00D61195" w:rsidRDefault="00B64AB9" w:rsidP="002849B3">
            <w:pPr>
              <w:pStyle w:val="bullet1"/>
              <w:spacing w:before="0" w:after="0"/>
              <w:jc w:val="both"/>
              <w:rPr>
                <w:szCs w:val="20"/>
              </w:rPr>
            </w:pPr>
            <w:r w:rsidRPr="00D61195">
              <w:rPr>
                <w:szCs w:val="20"/>
              </w:rPr>
              <w:t>au un număr mediu anual de salariaţi mai mic de 250;</w:t>
            </w:r>
          </w:p>
          <w:p w14:paraId="6D5CAF54" w14:textId="77777777" w:rsidR="00B64AB9" w:rsidRPr="00D61195" w:rsidRDefault="00B64AB9" w:rsidP="002849B3">
            <w:pPr>
              <w:pStyle w:val="bullet1"/>
              <w:spacing w:before="0" w:after="0"/>
              <w:jc w:val="both"/>
              <w:rPr>
                <w:szCs w:val="20"/>
              </w:rPr>
            </w:pPr>
            <w:r w:rsidRPr="00D61195">
              <w:rPr>
                <w:szCs w:val="20"/>
              </w:rPr>
              <w:t xml:space="preserve">realizează o cifră de afaceri anuală netă de până la 50 milioane de euro, echivalent în lei, sau deţin active totale care nu depăşesc echivalentul în lei a 43 milioane de euro, conform ultimei situaţii financiare aprobate. </w:t>
            </w:r>
          </w:p>
          <w:p w14:paraId="17BF102C" w14:textId="77777777" w:rsidR="00B64AB9" w:rsidRPr="00D61195" w:rsidRDefault="00B64AB9" w:rsidP="002849B3">
            <w:pPr>
              <w:spacing w:before="0" w:after="0"/>
              <w:ind w:left="142" w:right="142"/>
              <w:jc w:val="both"/>
              <w:rPr>
                <w:szCs w:val="20"/>
              </w:rPr>
            </w:pPr>
            <w:r w:rsidRPr="00D61195">
              <w:rPr>
                <w:szCs w:val="20"/>
              </w:rPr>
              <w:t>(Legea nr. 175 din 2006 privind aprobarea Ordonanţei Guvernului nr. 27/2006 pentru modificarea şi completarea Legii nr. 346/2004 privind stimularea înfiinţării şi dezvoltării întreprinderilor mici şi mijlocii)</w:t>
            </w:r>
          </w:p>
        </w:tc>
      </w:tr>
      <w:tr w:rsidR="00B64AB9" w:rsidRPr="00DD681E" w14:paraId="286A9640" w14:textId="77777777" w:rsidTr="00AE1373">
        <w:tc>
          <w:tcPr>
            <w:tcW w:w="2231" w:type="dxa"/>
            <w:tcBorders>
              <w:top w:val="single" w:sz="4" w:space="0" w:color="333333"/>
              <w:left w:val="nil"/>
              <w:bottom w:val="single" w:sz="4" w:space="0" w:color="333333"/>
              <w:right w:val="nil"/>
            </w:tcBorders>
            <w:tcMar>
              <w:top w:w="16" w:type="dxa"/>
              <w:left w:w="16" w:type="dxa"/>
              <w:bottom w:w="0" w:type="dxa"/>
              <w:right w:w="16" w:type="dxa"/>
            </w:tcMar>
            <w:hideMark/>
          </w:tcPr>
          <w:p w14:paraId="713BD95D" w14:textId="77777777" w:rsidR="00B64AB9" w:rsidRPr="00DD681E" w:rsidRDefault="00B64AB9" w:rsidP="002849B3">
            <w:pPr>
              <w:spacing w:before="0" w:after="0"/>
              <w:ind w:left="181" w:right="221"/>
              <w:jc w:val="both"/>
              <w:rPr>
                <w:szCs w:val="20"/>
              </w:rPr>
            </w:pPr>
            <w:r w:rsidRPr="00DD681E">
              <w:rPr>
                <w:szCs w:val="20"/>
              </w:rPr>
              <w:lastRenderedPageBreak/>
              <w:t>Număr mediu de salariaţi</w:t>
            </w:r>
          </w:p>
        </w:tc>
        <w:tc>
          <w:tcPr>
            <w:tcW w:w="6964" w:type="dxa"/>
            <w:gridSpan w:val="2"/>
            <w:tcBorders>
              <w:top w:val="single" w:sz="4" w:space="0" w:color="333333"/>
              <w:left w:val="nil"/>
              <w:bottom w:val="single" w:sz="4" w:space="0" w:color="333333"/>
              <w:right w:val="nil"/>
            </w:tcBorders>
            <w:tcMar>
              <w:top w:w="16" w:type="dxa"/>
              <w:left w:w="16" w:type="dxa"/>
              <w:bottom w:w="0" w:type="dxa"/>
              <w:right w:w="16" w:type="dxa"/>
            </w:tcMar>
            <w:hideMark/>
          </w:tcPr>
          <w:p w14:paraId="200ECAD6" w14:textId="77777777" w:rsidR="00B64AB9" w:rsidRPr="00DD681E" w:rsidRDefault="00B64AB9" w:rsidP="002849B3">
            <w:pPr>
              <w:spacing w:before="0" w:after="0"/>
              <w:ind w:left="142" w:right="142"/>
              <w:jc w:val="both"/>
              <w:rPr>
                <w:szCs w:val="20"/>
              </w:rPr>
            </w:pPr>
            <w:r w:rsidRPr="00DD681E">
              <w:rPr>
                <w:szCs w:val="20"/>
              </w:rPr>
              <w:t xml:space="preserve">Numărul mediu de salariaţi acoperă personalul permanent, cel cu jumătate de normă şi cel temporar şi include: salariaţii, persoanele care lucrează pentru întreprindere (fiind subordonate ei şi care sunt considerate ca angajaţi, prin legislaţia naţională), proprietarii-administratori, parteneri angajaţi în activităţile obişnuite ale întreprinderii şi care beneficiază de avantaje financiare din partea întreprinderii. </w:t>
            </w:r>
          </w:p>
          <w:p w14:paraId="72882591" w14:textId="77777777" w:rsidR="00B64AB9" w:rsidRPr="00DD681E" w:rsidRDefault="00B64AB9" w:rsidP="002849B3">
            <w:pPr>
              <w:spacing w:before="0" w:after="0"/>
              <w:ind w:left="142" w:right="142"/>
              <w:jc w:val="both"/>
              <w:rPr>
                <w:szCs w:val="20"/>
              </w:rPr>
            </w:pPr>
            <w:r w:rsidRPr="00DD681E">
              <w:rPr>
                <w:szCs w:val="20"/>
              </w:rPr>
              <w:t xml:space="preserve">Ucenicii sau elevii şi studenţii implicaţi în programe de instruire profesională, având contracte de ucenicie sau de instruire profesională, precum şi salariaţii care se află în concediu de maternitate sau parental nu sunt incluşi în numărul de angajaţi. </w:t>
            </w:r>
          </w:p>
          <w:p w14:paraId="6C1623DC" w14:textId="77777777" w:rsidR="00B64AB9" w:rsidRPr="00DD681E" w:rsidRDefault="00B64AB9" w:rsidP="002849B3">
            <w:pPr>
              <w:spacing w:before="0" w:after="0"/>
              <w:ind w:left="142" w:right="142"/>
              <w:jc w:val="both"/>
              <w:rPr>
                <w:szCs w:val="20"/>
              </w:rPr>
            </w:pPr>
            <w:r w:rsidRPr="00DD681E">
              <w:rPr>
                <w:szCs w:val="20"/>
              </w:rPr>
              <w:t xml:space="preserve">Calculul numărului mediu de salariaţi se va face în conformitate cu Art. 5 din Legea 346/2004, cu modificările şi completările ulterioare. </w:t>
            </w:r>
          </w:p>
        </w:tc>
      </w:tr>
      <w:tr w:rsidR="00EC3D5B" w:rsidRPr="00DD681E" w14:paraId="370799D8" w14:textId="77777777" w:rsidTr="00AE1373">
        <w:tc>
          <w:tcPr>
            <w:tcW w:w="2231" w:type="dxa"/>
            <w:tcBorders>
              <w:top w:val="single" w:sz="4" w:space="0" w:color="333333"/>
              <w:left w:val="nil"/>
              <w:bottom w:val="single" w:sz="4" w:space="0" w:color="333333"/>
              <w:right w:val="nil"/>
            </w:tcBorders>
            <w:tcMar>
              <w:top w:w="16" w:type="dxa"/>
              <w:left w:w="16" w:type="dxa"/>
              <w:bottom w:w="0" w:type="dxa"/>
              <w:right w:w="16" w:type="dxa"/>
            </w:tcMar>
            <w:hideMark/>
          </w:tcPr>
          <w:p w14:paraId="3A61965D" w14:textId="77777777" w:rsidR="00EC3D5B" w:rsidRPr="00DD681E" w:rsidRDefault="00EC3D5B" w:rsidP="002849B3">
            <w:pPr>
              <w:spacing w:before="0" w:after="0"/>
              <w:ind w:left="181" w:right="221"/>
              <w:jc w:val="both"/>
              <w:rPr>
                <w:szCs w:val="20"/>
              </w:rPr>
            </w:pPr>
            <w:r w:rsidRPr="00DD681E">
              <w:rPr>
                <w:szCs w:val="20"/>
              </w:rPr>
              <w:t>Schemă de ajutor de stat</w:t>
            </w:r>
          </w:p>
        </w:tc>
        <w:tc>
          <w:tcPr>
            <w:tcW w:w="6964" w:type="dxa"/>
            <w:gridSpan w:val="2"/>
            <w:tcBorders>
              <w:top w:val="single" w:sz="4" w:space="0" w:color="333333"/>
              <w:left w:val="nil"/>
              <w:bottom w:val="single" w:sz="4" w:space="0" w:color="333333"/>
              <w:right w:val="nil"/>
            </w:tcBorders>
            <w:tcMar>
              <w:top w:w="16" w:type="dxa"/>
              <w:left w:w="16" w:type="dxa"/>
              <w:bottom w:w="0" w:type="dxa"/>
              <w:right w:w="16" w:type="dxa"/>
            </w:tcMar>
            <w:hideMark/>
          </w:tcPr>
          <w:p w14:paraId="4CD23351" w14:textId="77777777" w:rsidR="00EC3D5B" w:rsidRPr="00DD681E" w:rsidRDefault="00EC3D5B" w:rsidP="002849B3">
            <w:pPr>
              <w:spacing w:before="0" w:after="0"/>
              <w:ind w:left="142" w:right="142"/>
              <w:jc w:val="both"/>
              <w:rPr>
                <w:szCs w:val="20"/>
              </w:rPr>
            </w:pPr>
            <w:r w:rsidRPr="00DD681E">
              <w:rPr>
                <w:szCs w:val="20"/>
              </w:rPr>
              <w:t>Act în baza căruia, în condiţiile îndeplinirii anumitor criterii, pot fi acordate ajutoare individuale unor întreprinderi definite în cadrul actului, în mod general şi abstract, şi orice act în baza căruia un ajutor care nu este legat de un proiect specific poate fi acordat uneia sau mai multor întreprinderi pentru o perioadă nedefinită şi/ sau într-o valoare nedefinită.</w:t>
            </w:r>
          </w:p>
        </w:tc>
      </w:tr>
      <w:tr w:rsidR="00EC3D5B" w:rsidRPr="00DD681E" w14:paraId="328E2B53" w14:textId="77777777" w:rsidTr="00AE1373">
        <w:tc>
          <w:tcPr>
            <w:tcW w:w="2231" w:type="dxa"/>
            <w:tcBorders>
              <w:top w:val="single" w:sz="4" w:space="0" w:color="333333"/>
              <w:left w:val="nil"/>
              <w:bottom w:val="single" w:sz="4" w:space="0" w:color="333333"/>
              <w:right w:val="nil"/>
            </w:tcBorders>
            <w:tcMar>
              <w:top w:w="16" w:type="dxa"/>
              <w:left w:w="16" w:type="dxa"/>
              <w:bottom w:w="0" w:type="dxa"/>
              <w:right w:w="16" w:type="dxa"/>
            </w:tcMar>
            <w:hideMark/>
          </w:tcPr>
          <w:p w14:paraId="39A5D121" w14:textId="77777777" w:rsidR="00EC3D5B" w:rsidRPr="00DD681E" w:rsidRDefault="00EC3D5B" w:rsidP="002849B3">
            <w:pPr>
              <w:spacing w:before="0" w:after="0"/>
              <w:ind w:left="181" w:right="221"/>
              <w:jc w:val="both"/>
              <w:rPr>
                <w:rFonts w:eastAsia="Arial Unicode MS"/>
                <w:szCs w:val="20"/>
              </w:rPr>
            </w:pPr>
            <w:r w:rsidRPr="00DD681E">
              <w:rPr>
                <w:szCs w:val="20"/>
              </w:rPr>
              <w:t>Structuri de sprijinire a afacerilor</w:t>
            </w:r>
          </w:p>
        </w:tc>
        <w:tc>
          <w:tcPr>
            <w:tcW w:w="6964" w:type="dxa"/>
            <w:gridSpan w:val="2"/>
            <w:tcBorders>
              <w:top w:val="single" w:sz="4" w:space="0" w:color="333333"/>
              <w:left w:val="nil"/>
              <w:bottom w:val="single" w:sz="4" w:space="0" w:color="333333"/>
              <w:right w:val="nil"/>
            </w:tcBorders>
            <w:tcMar>
              <w:top w:w="16" w:type="dxa"/>
              <w:left w:w="16" w:type="dxa"/>
              <w:bottom w:w="0" w:type="dxa"/>
              <w:right w:w="16" w:type="dxa"/>
            </w:tcMar>
            <w:hideMark/>
          </w:tcPr>
          <w:p w14:paraId="2954BAC7" w14:textId="77777777" w:rsidR="00EC3D5B" w:rsidRPr="00DD681E" w:rsidRDefault="00EC3D5B" w:rsidP="002849B3">
            <w:pPr>
              <w:spacing w:before="0" w:after="0"/>
              <w:ind w:left="142" w:right="142"/>
              <w:jc w:val="both"/>
              <w:rPr>
                <w:rFonts w:eastAsia="Arial Unicode MS"/>
                <w:szCs w:val="20"/>
              </w:rPr>
            </w:pPr>
            <w:r w:rsidRPr="00DD681E">
              <w:rPr>
                <w:szCs w:val="20"/>
              </w:rPr>
              <w:t>Structuri clar delimitate care asigură o serie de facilităţi (accesul la utilităţi publice etc) şi/sau spaţii pentru desfăşurarea unor activităţi economice de producţie, prestare servicii, având ca scop atragerea investiţiilor, astfel încât să se valorifice potenţialul material şi uman al zonei în care sunt amplasate.</w:t>
            </w:r>
          </w:p>
        </w:tc>
      </w:tr>
      <w:tr w:rsidR="00AE1373" w:rsidRPr="00DD681E" w14:paraId="05B25F60" w14:textId="77777777" w:rsidTr="00AE1373">
        <w:tblPrEx>
          <w:tblLook w:val="0000" w:firstRow="0" w:lastRow="0" w:firstColumn="0" w:lastColumn="0" w:noHBand="0" w:noVBand="0"/>
        </w:tblPrEx>
        <w:trPr>
          <w:gridAfter w:val="1"/>
          <w:wAfter w:w="359" w:type="dxa"/>
          <w:cantSplit/>
          <w:trHeight w:val="765"/>
        </w:trPr>
        <w:tc>
          <w:tcPr>
            <w:tcW w:w="2231" w:type="dxa"/>
            <w:tcMar>
              <w:top w:w="16" w:type="dxa"/>
              <w:left w:w="16" w:type="dxa"/>
              <w:bottom w:w="0" w:type="dxa"/>
              <w:right w:w="16" w:type="dxa"/>
            </w:tcMar>
          </w:tcPr>
          <w:p w14:paraId="1320F07D" w14:textId="77777777" w:rsidR="00AE1373" w:rsidRPr="00DD681E" w:rsidRDefault="00AE1373" w:rsidP="002849B3">
            <w:pPr>
              <w:spacing w:before="0" w:after="0"/>
              <w:ind w:left="180" w:right="219"/>
              <w:jc w:val="both"/>
              <w:rPr>
                <w:szCs w:val="20"/>
              </w:rPr>
            </w:pPr>
            <w:r w:rsidRPr="00DD681E">
              <w:rPr>
                <w:szCs w:val="20"/>
              </w:rPr>
              <w:t>Societate cooperativă</w:t>
            </w:r>
          </w:p>
        </w:tc>
        <w:tc>
          <w:tcPr>
            <w:tcW w:w="6605" w:type="dxa"/>
            <w:tcMar>
              <w:top w:w="16" w:type="dxa"/>
              <w:left w:w="16" w:type="dxa"/>
              <w:bottom w:w="0" w:type="dxa"/>
              <w:right w:w="16" w:type="dxa"/>
            </w:tcMar>
          </w:tcPr>
          <w:p w14:paraId="71B69D03" w14:textId="77777777" w:rsidR="00AE1373" w:rsidRPr="00DD681E" w:rsidRDefault="00AE1373" w:rsidP="002849B3">
            <w:pPr>
              <w:spacing w:before="0" w:after="0"/>
              <w:ind w:left="109" w:right="164"/>
              <w:jc w:val="both"/>
              <w:rPr>
                <w:szCs w:val="20"/>
              </w:rPr>
            </w:pPr>
            <w:r w:rsidRPr="00DD681E">
              <w:rPr>
                <w:szCs w:val="20"/>
              </w:rPr>
              <w:t>Societate constituită în baza Legii 1/2005 privind organizarea şi funcţionarea cooperaţiei, cu modificările şi completările ulterioare</w:t>
            </w:r>
          </w:p>
        </w:tc>
      </w:tr>
    </w:tbl>
    <w:p w14:paraId="27018CEA" w14:textId="77777777" w:rsidR="00EC3D5B" w:rsidRPr="00DD681E" w:rsidRDefault="00EC3D5B" w:rsidP="002849B3">
      <w:pPr>
        <w:spacing w:before="0" w:after="0"/>
        <w:jc w:val="both"/>
        <w:rPr>
          <w:szCs w:val="20"/>
        </w:rPr>
      </w:pPr>
    </w:p>
    <w:p w14:paraId="0187B8D7" w14:textId="77777777" w:rsidR="00EC3D5B" w:rsidRPr="00DD681E" w:rsidRDefault="00EC3D5B" w:rsidP="002849B3">
      <w:pPr>
        <w:spacing w:before="0" w:after="0"/>
        <w:jc w:val="both"/>
        <w:rPr>
          <w:b/>
          <w:bCs/>
          <w:szCs w:val="20"/>
        </w:rPr>
      </w:pPr>
    </w:p>
    <w:p w14:paraId="4ECABCB0" w14:textId="77777777" w:rsidR="00EC3D5B" w:rsidRPr="00DD681E" w:rsidRDefault="00EC3D5B" w:rsidP="002849B3">
      <w:pPr>
        <w:spacing w:before="0" w:after="0"/>
        <w:jc w:val="both"/>
        <w:rPr>
          <w:b/>
          <w:bCs/>
          <w:szCs w:val="20"/>
        </w:rPr>
      </w:pPr>
      <w:r w:rsidRPr="00DD681E">
        <w:rPr>
          <w:b/>
          <w:bCs/>
          <w:szCs w:val="20"/>
        </w:rPr>
        <w:t>Mediu şi dezvoltare durabilă</w:t>
      </w:r>
    </w:p>
    <w:p w14:paraId="52B588B3" w14:textId="77777777" w:rsidR="00EC3D5B" w:rsidRPr="00DD681E" w:rsidRDefault="00EC3D5B" w:rsidP="002849B3">
      <w:pPr>
        <w:spacing w:before="0" w:after="0"/>
        <w:jc w:val="both"/>
        <w:rPr>
          <w:b/>
          <w:bCs/>
          <w:szCs w:val="20"/>
        </w:rPr>
      </w:pPr>
    </w:p>
    <w:tbl>
      <w:tblPr>
        <w:tblW w:w="9195" w:type="dxa"/>
        <w:tblBorders>
          <w:top w:val="single" w:sz="4" w:space="0" w:color="333333"/>
          <w:bottom w:val="single" w:sz="4" w:space="0" w:color="333333"/>
          <w:insideH w:val="single" w:sz="4" w:space="0" w:color="333333"/>
        </w:tblBorders>
        <w:tblLayout w:type="fixed"/>
        <w:tblCellMar>
          <w:left w:w="0" w:type="dxa"/>
          <w:right w:w="0" w:type="dxa"/>
        </w:tblCellMar>
        <w:tblLook w:val="04A0" w:firstRow="1" w:lastRow="0" w:firstColumn="1" w:lastColumn="0" w:noHBand="0" w:noVBand="1"/>
      </w:tblPr>
      <w:tblGrid>
        <w:gridCol w:w="2230"/>
        <w:gridCol w:w="6965"/>
      </w:tblGrid>
      <w:tr w:rsidR="00EC3D5B" w:rsidRPr="00DD681E" w14:paraId="6ED65593" w14:textId="77777777" w:rsidTr="008F002F">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194A1B63" w14:textId="77777777" w:rsidR="00EC3D5B" w:rsidRPr="00DD681E" w:rsidRDefault="00EC3D5B" w:rsidP="002849B3">
            <w:pPr>
              <w:spacing w:before="0" w:after="0"/>
              <w:ind w:left="181" w:right="221"/>
              <w:jc w:val="both"/>
              <w:rPr>
                <w:szCs w:val="20"/>
              </w:rPr>
            </w:pPr>
            <w:r w:rsidRPr="00DD681E">
              <w:rPr>
                <w:szCs w:val="20"/>
              </w:rPr>
              <w:t>Aviz NATURA 2000</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4B096F12" w14:textId="77777777" w:rsidR="00EC3D5B" w:rsidRPr="00DD681E" w:rsidRDefault="00EC3D5B" w:rsidP="002849B3">
            <w:pPr>
              <w:spacing w:before="0" w:after="0"/>
              <w:ind w:left="142" w:right="142"/>
              <w:jc w:val="both"/>
              <w:rPr>
                <w:szCs w:val="20"/>
              </w:rPr>
            </w:pPr>
            <w:r w:rsidRPr="00DD681E">
              <w:rPr>
                <w:szCs w:val="20"/>
              </w:rPr>
              <w:t xml:space="preserve">Act tehnico-juridic emis de autoritatea publică responsabilă pentru protecţia mediului, care confirmă integrarea aspectelor privind protecţia habitatelor naturale şi a speciilor de floră şi faună sălbatică în planul sau programul supus adoptării (Art. 52, alin.4 din Ordonanţa de Urgenţă nr. 195/2005,cu modificările şi completările ulterioare). </w:t>
            </w:r>
          </w:p>
          <w:p w14:paraId="43F6D1AB" w14:textId="77777777" w:rsidR="00EC3D5B" w:rsidRPr="00DD681E" w:rsidRDefault="00EC3D5B" w:rsidP="002849B3">
            <w:pPr>
              <w:spacing w:before="0" w:after="0"/>
              <w:ind w:left="142" w:right="142"/>
              <w:jc w:val="both"/>
              <w:rPr>
                <w:szCs w:val="20"/>
              </w:rPr>
            </w:pPr>
            <w:r w:rsidRPr="00DD681E">
              <w:rPr>
                <w:b/>
                <w:bCs/>
                <w:szCs w:val="20"/>
              </w:rPr>
              <w:t>Pentru orice proiect finanţat din fonduri comunitare este necesară obţinerea avizului Natura 2000</w:t>
            </w:r>
            <w:r w:rsidRPr="00DD681E">
              <w:rPr>
                <w:szCs w:val="20"/>
              </w:rPr>
              <w:t xml:space="preserve"> (Art.52, alin.4 din Ordonanţa de Urgenţă nr. 195/2005, cu modificările şi completările ulterioare).</w:t>
            </w:r>
          </w:p>
        </w:tc>
      </w:tr>
      <w:tr w:rsidR="008F002F" w:rsidRPr="00DD681E" w14:paraId="686C7F1A" w14:textId="77777777" w:rsidTr="008F002F">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2F9DDB0B" w14:textId="77777777" w:rsidR="008F002F" w:rsidRPr="00DD681E" w:rsidRDefault="008F002F" w:rsidP="002849B3">
            <w:pPr>
              <w:pStyle w:val="Normal1"/>
              <w:spacing w:before="0" w:after="0"/>
              <w:ind w:left="181" w:right="221"/>
              <w:rPr>
                <w:rFonts w:cs="Arial"/>
                <w:szCs w:val="20"/>
              </w:rPr>
            </w:pPr>
            <w:r w:rsidRPr="00DD681E">
              <w:rPr>
                <w:rFonts w:cs="Arial"/>
                <w:szCs w:val="20"/>
              </w:rPr>
              <w:t>Creşterea eficienţei energetice</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55E90B8A" w14:textId="77777777" w:rsidR="008F002F" w:rsidRPr="00DD681E" w:rsidRDefault="008F002F" w:rsidP="002849B3">
            <w:pPr>
              <w:pStyle w:val="Normal1"/>
              <w:spacing w:before="0" w:after="0"/>
              <w:ind w:left="113" w:right="113"/>
              <w:rPr>
                <w:szCs w:val="20"/>
              </w:rPr>
            </w:pPr>
            <w:r w:rsidRPr="00DD681E">
              <w:rPr>
                <w:szCs w:val="20"/>
              </w:rPr>
              <w:t xml:space="preserve">Reprezintă îmbunătăţirea eficienţei utilizării energiei prin schimbări tehnologice, de comportament şi/sau economice. Măsurile de creştere a eficienţei sunt toate acele acţiuni care, în mod normal, conduc la o creştere a eficienţei energetice ce poate fi verificată, măsurată sau estimată. </w:t>
            </w:r>
          </w:p>
        </w:tc>
      </w:tr>
      <w:tr w:rsidR="00EC3D5B" w:rsidRPr="00DD681E" w14:paraId="3AAC812C" w14:textId="77777777" w:rsidTr="008F002F">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2554FDB6" w14:textId="77777777" w:rsidR="00EC3D5B" w:rsidRPr="00DD681E" w:rsidRDefault="00EC3D5B" w:rsidP="002849B3">
            <w:pPr>
              <w:pStyle w:val="Normal1"/>
              <w:spacing w:before="0" w:after="0"/>
              <w:ind w:left="181" w:right="221"/>
              <w:rPr>
                <w:rFonts w:cs="Arial"/>
                <w:szCs w:val="20"/>
              </w:rPr>
            </w:pPr>
            <w:r w:rsidRPr="00DD681E">
              <w:rPr>
                <w:rFonts w:cs="Arial"/>
                <w:szCs w:val="20"/>
              </w:rPr>
              <w:t>Dezvoltarea durabilă</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4895ECDC" w14:textId="77777777" w:rsidR="00EC3D5B" w:rsidRPr="00DD681E" w:rsidRDefault="00EC3D5B" w:rsidP="002849B3">
            <w:pPr>
              <w:pStyle w:val="numbers"/>
              <w:tabs>
                <w:tab w:val="clear" w:pos="360"/>
                <w:tab w:val="left" w:pos="708"/>
              </w:tabs>
              <w:ind w:left="113" w:right="113"/>
              <w:jc w:val="both"/>
              <w:rPr>
                <w:rFonts w:ascii="Trebuchet MS" w:hAnsi="Trebuchet MS"/>
                <w:sz w:val="20"/>
              </w:rPr>
            </w:pPr>
            <w:r w:rsidRPr="00DD681E">
              <w:rPr>
                <w:rFonts w:ascii="Trebuchet MS" w:hAnsi="Trebuchet MS"/>
                <w:sz w:val="20"/>
              </w:rPr>
              <w:t xml:space="preserve">Reprezintă dezvoltarea care corespunde necesităţilor prezentului, fără a compromite posibilitatea generaţiilor viitoare de a-şi satisface propriile necesităţi. </w:t>
            </w:r>
          </w:p>
        </w:tc>
      </w:tr>
      <w:tr w:rsidR="00EC3D5B" w:rsidRPr="00DD681E" w14:paraId="7BB0A99B" w14:textId="77777777" w:rsidTr="008F002F">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4665F218" w14:textId="77777777" w:rsidR="00EC3D5B" w:rsidRPr="00DD681E" w:rsidRDefault="00EC3D5B" w:rsidP="002849B3">
            <w:pPr>
              <w:spacing w:before="0" w:after="0"/>
              <w:ind w:left="181" w:right="221"/>
              <w:jc w:val="both"/>
              <w:rPr>
                <w:rFonts w:cs="Arial"/>
                <w:szCs w:val="20"/>
              </w:rPr>
            </w:pPr>
            <w:r w:rsidRPr="00DD681E">
              <w:rPr>
                <w:rFonts w:cs="Arial"/>
                <w:szCs w:val="20"/>
              </w:rPr>
              <w:t>Spaţii verzi</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50057043" w14:textId="77777777" w:rsidR="00EC3D5B" w:rsidRPr="00DD681E" w:rsidRDefault="00EC3D5B" w:rsidP="002849B3">
            <w:pPr>
              <w:pStyle w:val="CommentText"/>
              <w:spacing w:before="0" w:after="0"/>
              <w:ind w:left="142" w:right="142"/>
              <w:jc w:val="both"/>
              <w:rPr>
                <w:rFonts w:cs="Arial"/>
              </w:rPr>
            </w:pPr>
            <w:r w:rsidRPr="00DD681E">
              <w:rPr>
                <w:rFonts w:cs="Arial"/>
              </w:rPr>
              <w:t>Conform prevederilor art.2 şi 3 din Legea nr.24/2007</w:t>
            </w:r>
            <w:r w:rsidRPr="00DD681E">
              <w:rPr>
                <w:rStyle w:val="FootnoteReference"/>
                <w:rFonts w:cs="Arial"/>
              </w:rPr>
              <w:footnoteReference w:id="4"/>
            </w:r>
            <w:r w:rsidRPr="00DD681E">
              <w:rPr>
                <w:rFonts w:cs="Arial"/>
              </w:rPr>
              <w:t xml:space="preserve">, spaţiile verzi reprezintă zone verzi în cadrul oraşelor şi municipiilor, definite ca o reţea mozaicată sau un sistem de ecosisteme seminaturale, al căror specific este determinat de vegetaţie (lemnoasă, arborescentă, arbustivă, floricolă şi erbacee). Spaţiile verzi se compun din următoarele tipuri de terenuri din zonele urbane: parcuri, scuaruri, aliniamente plantate în lungul bulevardelor şi străzilor, terenuri libere neproductive </w:t>
            </w:r>
            <w:r w:rsidRPr="00DD681E">
              <w:rPr>
                <w:rFonts w:cs="Arial"/>
              </w:rPr>
              <w:lastRenderedPageBreak/>
              <w:t>din intravilan: mlaştini, stâncării, pante, terenuri afectate de alunecări, sărături care pot fi amenajate cu plantaţii.</w:t>
            </w:r>
          </w:p>
        </w:tc>
      </w:tr>
    </w:tbl>
    <w:p w14:paraId="43679565" w14:textId="77777777" w:rsidR="00EC3D5B" w:rsidRPr="00DD681E" w:rsidRDefault="00EC3D5B" w:rsidP="002849B3">
      <w:pPr>
        <w:spacing w:before="0" w:after="0"/>
        <w:jc w:val="both"/>
        <w:rPr>
          <w:szCs w:val="20"/>
        </w:rPr>
      </w:pPr>
    </w:p>
    <w:p w14:paraId="77DB27B8" w14:textId="77777777" w:rsidR="00EC3D5B" w:rsidRPr="00DD681E" w:rsidRDefault="00EC3D5B" w:rsidP="002849B3">
      <w:pPr>
        <w:spacing w:before="0" w:after="0"/>
        <w:jc w:val="both"/>
        <w:rPr>
          <w:szCs w:val="20"/>
        </w:rPr>
      </w:pPr>
    </w:p>
    <w:p w14:paraId="2D8FAA7E" w14:textId="77777777" w:rsidR="00EC3D5B" w:rsidRPr="00DD681E" w:rsidRDefault="00EC3D5B" w:rsidP="002849B3">
      <w:pPr>
        <w:spacing w:before="0" w:after="0"/>
        <w:jc w:val="both"/>
        <w:rPr>
          <w:b/>
          <w:bCs/>
          <w:szCs w:val="20"/>
        </w:rPr>
      </w:pPr>
      <w:r w:rsidRPr="00DD681E">
        <w:rPr>
          <w:b/>
          <w:bCs/>
          <w:szCs w:val="20"/>
        </w:rPr>
        <w:t>Lucrări, construcţii</w:t>
      </w:r>
    </w:p>
    <w:p w14:paraId="7B8C65EF" w14:textId="77777777" w:rsidR="00EC3D5B" w:rsidRPr="00DD681E" w:rsidRDefault="00EC3D5B" w:rsidP="002849B3">
      <w:pPr>
        <w:spacing w:before="0" w:after="0"/>
        <w:jc w:val="both"/>
        <w:rPr>
          <w:b/>
          <w:bCs/>
          <w:szCs w:val="20"/>
        </w:rPr>
      </w:pPr>
    </w:p>
    <w:tbl>
      <w:tblPr>
        <w:tblW w:w="9391" w:type="dxa"/>
        <w:tblBorders>
          <w:top w:val="single" w:sz="4" w:space="0" w:color="333333"/>
          <w:bottom w:val="single" w:sz="4" w:space="0" w:color="333333"/>
          <w:insideH w:val="single" w:sz="4" w:space="0" w:color="333333"/>
        </w:tblBorders>
        <w:tblLayout w:type="fixed"/>
        <w:tblCellMar>
          <w:left w:w="0" w:type="dxa"/>
          <w:right w:w="0" w:type="dxa"/>
        </w:tblCellMar>
        <w:tblLook w:val="04A0" w:firstRow="1" w:lastRow="0" w:firstColumn="1" w:lastColumn="0" w:noHBand="0" w:noVBand="1"/>
      </w:tblPr>
      <w:tblGrid>
        <w:gridCol w:w="2426"/>
        <w:gridCol w:w="6965"/>
      </w:tblGrid>
      <w:tr w:rsidR="00076E3C" w:rsidRPr="00DD681E" w14:paraId="54481755" w14:textId="77777777" w:rsidTr="008E323C">
        <w:tc>
          <w:tcPr>
            <w:tcW w:w="2426" w:type="dxa"/>
            <w:tcBorders>
              <w:top w:val="single" w:sz="4" w:space="0" w:color="333333"/>
              <w:left w:val="nil"/>
              <w:bottom w:val="single" w:sz="4" w:space="0" w:color="333333"/>
              <w:right w:val="nil"/>
            </w:tcBorders>
            <w:tcMar>
              <w:top w:w="16" w:type="dxa"/>
              <w:left w:w="16" w:type="dxa"/>
              <w:bottom w:w="0" w:type="dxa"/>
              <w:right w:w="16" w:type="dxa"/>
            </w:tcMar>
            <w:hideMark/>
          </w:tcPr>
          <w:p w14:paraId="542F6A93" w14:textId="77777777" w:rsidR="00076E3C" w:rsidRPr="00DD681E" w:rsidRDefault="00076E3C" w:rsidP="002849B3">
            <w:pPr>
              <w:spacing w:before="0" w:after="0"/>
              <w:ind w:left="181" w:right="221"/>
              <w:jc w:val="both"/>
              <w:rPr>
                <w:rFonts w:eastAsia="Arial Unicode MS" w:cs="Arial"/>
                <w:szCs w:val="20"/>
              </w:rPr>
            </w:pPr>
            <w:r w:rsidRPr="00DD681E">
              <w:rPr>
                <w:rFonts w:cs="Arial"/>
                <w:szCs w:val="20"/>
              </w:rPr>
              <w:t>Construcţii / lucrări de construcţii</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3A1860D8" w14:textId="77777777" w:rsidR="00076E3C" w:rsidRPr="00DD681E" w:rsidRDefault="00076E3C" w:rsidP="002849B3">
            <w:pPr>
              <w:spacing w:before="0" w:after="0"/>
              <w:ind w:left="142" w:right="142"/>
              <w:jc w:val="both"/>
              <w:rPr>
                <w:rFonts w:eastAsia="Arial Unicode MS"/>
                <w:szCs w:val="20"/>
              </w:rPr>
            </w:pPr>
            <w:r w:rsidRPr="00DD681E">
              <w:rPr>
                <w:szCs w:val="20"/>
              </w:rPr>
              <w:t>Lucrările de construcţii sunt operaţiunile specifice prin care se realizează (edifică) construcţii de orice fel sau se desfiinţează construcţii şi/sau amenajări asimilabile construcţiilor (Ordinul ministrului transporturilor, construcţiilor şi turismului nr. 1430/2005</w:t>
            </w:r>
            <w:r w:rsidRPr="00DD681E">
              <w:rPr>
                <w:rStyle w:val="FootnoteReference"/>
                <w:szCs w:val="20"/>
              </w:rPr>
              <w:footnoteReference w:id="5"/>
            </w:r>
            <w:r w:rsidRPr="00DD681E">
              <w:rPr>
                <w:szCs w:val="20"/>
              </w:rPr>
              <w:t xml:space="preserve"> pentru aprobarea Normelor metodologice de aplicare a Legii nr. 50/1991 privind autorizarea executării lucrărilor de construcţii, cu modificările şi completările ulterioare).</w:t>
            </w:r>
          </w:p>
        </w:tc>
      </w:tr>
      <w:tr w:rsidR="00076E3C" w:rsidRPr="00DD681E" w14:paraId="3D75145C" w14:textId="77777777" w:rsidTr="008E323C">
        <w:tc>
          <w:tcPr>
            <w:tcW w:w="2426" w:type="dxa"/>
            <w:tcBorders>
              <w:top w:val="single" w:sz="4" w:space="0" w:color="333333"/>
              <w:left w:val="nil"/>
              <w:bottom w:val="single" w:sz="4" w:space="0" w:color="333333"/>
              <w:right w:val="nil"/>
            </w:tcBorders>
            <w:tcMar>
              <w:top w:w="16" w:type="dxa"/>
              <w:left w:w="16" w:type="dxa"/>
              <w:bottom w:w="0" w:type="dxa"/>
              <w:right w:w="16" w:type="dxa"/>
            </w:tcMar>
            <w:hideMark/>
          </w:tcPr>
          <w:p w14:paraId="6CB4020D" w14:textId="77777777" w:rsidR="00076E3C" w:rsidRPr="00DD681E" w:rsidRDefault="00076E3C" w:rsidP="002849B3">
            <w:pPr>
              <w:pStyle w:val="Normal1"/>
              <w:spacing w:before="0" w:after="0"/>
              <w:ind w:left="181" w:right="221"/>
              <w:rPr>
                <w:rFonts w:cs="Arial"/>
                <w:szCs w:val="20"/>
              </w:rPr>
            </w:pPr>
            <w:r w:rsidRPr="00DD681E">
              <w:rPr>
                <w:rFonts w:cs="Arial"/>
                <w:szCs w:val="20"/>
              </w:rPr>
              <w:t>Concesiune, contract de concesiune</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50BF9552" w14:textId="77777777" w:rsidR="00076E3C" w:rsidRPr="00DD681E" w:rsidRDefault="00076E3C" w:rsidP="002849B3">
            <w:pPr>
              <w:pStyle w:val="Normal1"/>
              <w:spacing w:before="0" w:after="0"/>
              <w:ind w:left="142" w:right="142"/>
              <w:rPr>
                <w:rFonts w:cs="Tahoma"/>
                <w:szCs w:val="20"/>
              </w:rPr>
            </w:pPr>
            <w:r w:rsidRPr="00DD681E">
              <w:rPr>
                <w:rFonts w:cs="Tahoma"/>
                <w:szCs w:val="20"/>
              </w:rPr>
              <w:t>contract încheiat în formă scrisă prin care o autoritate publică, denumită concedent, transmite, pe o perioadă determinată, unei persoane, denumite concesionar, care acţionează pe riscul şi răspunderea sa, dreptul şi obligaţia de exploatare a unui bun proprietate publică în schimbul unei redevenţe.</w:t>
            </w:r>
          </w:p>
          <w:p w14:paraId="60D05A81" w14:textId="77777777" w:rsidR="00076E3C" w:rsidRPr="00DD681E" w:rsidRDefault="00076E3C" w:rsidP="002849B3">
            <w:pPr>
              <w:pStyle w:val="Normal1"/>
              <w:spacing w:before="0" w:after="0"/>
              <w:ind w:left="142" w:right="142"/>
              <w:rPr>
                <w:rFonts w:cs="Tahoma"/>
                <w:szCs w:val="20"/>
              </w:rPr>
            </w:pPr>
            <w:r w:rsidRPr="00DD681E">
              <w:rPr>
                <w:rFonts w:cs="Tahoma"/>
                <w:szCs w:val="20"/>
              </w:rPr>
              <w:t>Pot avea calitatea de concedent, în numele statului, judeţului, oraşului sau comunei: ministerele sau alte organe de specialitate ale administraţiei publice centrale, pentru bunurile proprietate publică a statului; consiliile judeţene, consiliile locale, Consiliul General al Municipiului Bucureşti sau instituţiile publice de interes local, pentru bunurile proprietate publică a judeţului, oraşului sau comunei.</w:t>
            </w:r>
          </w:p>
          <w:p w14:paraId="342D0066" w14:textId="77777777" w:rsidR="00076E3C" w:rsidRPr="00DD681E" w:rsidRDefault="00076E3C" w:rsidP="002849B3">
            <w:pPr>
              <w:pStyle w:val="Normal1"/>
              <w:spacing w:before="0" w:after="0"/>
              <w:ind w:left="142" w:right="142"/>
              <w:rPr>
                <w:rFonts w:cs="Tahoma"/>
                <w:szCs w:val="20"/>
              </w:rPr>
            </w:pPr>
            <w:r w:rsidRPr="00DD681E">
              <w:rPr>
                <w:rFonts w:cs="Tahoma"/>
                <w:szCs w:val="20"/>
              </w:rPr>
              <w:t>Vezi Ordonanţa de Urgenţă a Guvernului nr. 54/2006 privind privind regimul contractelor de concesiune de bunuri proprietate publică</w:t>
            </w:r>
          </w:p>
        </w:tc>
      </w:tr>
      <w:tr w:rsidR="00076E3C" w:rsidRPr="00DD681E" w14:paraId="0BA40ABD" w14:textId="77777777" w:rsidTr="008E323C">
        <w:tc>
          <w:tcPr>
            <w:tcW w:w="2426" w:type="dxa"/>
            <w:tcBorders>
              <w:top w:val="single" w:sz="4" w:space="0" w:color="333333"/>
              <w:left w:val="nil"/>
              <w:bottom w:val="single" w:sz="4" w:space="0" w:color="333333"/>
              <w:right w:val="nil"/>
            </w:tcBorders>
            <w:tcMar>
              <w:top w:w="16" w:type="dxa"/>
              <w:left w:w="16" w:type="dxa"/>
              <w:bottom w:w="0" w:type="dxa"/>
              <w:right w:w="16" w:type="dxa"/>
            </w:tcMar>
            <w:hideMark/>
          </w:tcPr>
          <w:p w14:paraId="4F9AD5F4" w14:textId="77777777" w:rsidR="00076E3C" w:rsidRPr="00DD681E" w:rsidRDefault="00076E3C" w:rsidP="002849B3">
            <w:pPr>
              <w:pStyle w:val="Normal1"/>
              <w:spacing w:before="0" w:after="0"/>
              <w:ind w:left="181" w:right="221"/>
              <w:rPr>
                <w:rFonts w:cs="Arial"/>
                <w:szCs w:val="20"/>
              </w:rPr>
            </w:pPr>
            <w:r w:rsidRPr="00DD681E">
              <w:rPr>
                <w:rFonts w:cs="Arial"/>
                <w:szCs w:val="20"/>
              </w:rPr>
              <w:t>Deviz general</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020EC4E4" w14:textId="77777777" w:rsidR="00076E3C" w:rsidRPr="00DD681E" w:rsidRDefault="00076E3C" w:rsidP="002849B3">
            <w:pPr>
              <w:pStyle w:val="numbers"/>
              <w:tabs>
                <w:tab w:val="clear" w:pos="360"/>
                <w:tab w:val="left" w:pos="708"/>
              </w:tabs>
              <w:ind w:left="113" w:right="113"/>
              <w:jc w:val="both"/>
              <w:rPr>
                <w:rFonts w:ascii="Trebuchet MS" w:hAnsi="Trebuchet MS"/>
                <w:sz w:val="20"/>
              </w:rPr>
            </w:pPr>
            <w:r w:rsidRPr="00DD681E">
              <w:rPr>
                <w:rFonts w:ascii="Trebuchet MS" w:hAnsi="Trebuchet MS"/>
                <w:sz w:val="20"/>
              </w:rPr>
              <w:t xml:space="preserve">Conform art.1 din Anexa nr.4  a Hotărârii Guvernului nr.28/2008, reprezintă </w:t>
            </w:r>
            <w:r w:rsidRPr="00DD681E">
              <w:rPr>
                <w:rStyle w:val="rvts9"/>
                <w:rFonts w:ascii="Trebuchet MS" w:hAnsi="Trebuchet MS" w:cs="Tahoma"/>
                <w:sz w:val="20"/>
              </w:rPr>
              <w:t>documentaţia economică prin care se stabileşte valoarea totală estimativă a cheltuielilor necesare realizării obiectivelor de investiţii sau a cheltuielilor asimilate investiţiilor, necesare realizării lucrărilor de intervenţii la construcţii şi instalaţii, în faza de proiectare studiu de fezabilitate/documentaţie de avizare a lucrărilor de intervenţii. Devizul general se structurează pe capitole şi subcapitole de cheltuieli, iar în cadrul acestora se înscriu obiectele de investiţie sau natura cheltuielilor.</w:t>
            </w:r>
          </w:p>
        </w:tc>
      </w:tr>
      <w:tr w:rsidR="00076E3C" w:rsidRPr="00DD681E" w14:paraId="78983553" w14:textId="77777777" w:rsidTr="008E323C">
        <w:tc>
          <w:tcPr>
            <w:tcW w:w="2426" w:type="dxa"/>
            <w:tcBorders>
              <w:top w:val="single" w:sz="4" w:space="0" w:color="333333"/>
              <w:left w:val="nil"/>
              <w:bottom w:val="single" w:sz="4" w:space="0" w:color="333333"/>
              <w:right w:val="nil"/>
            </w:tcBorders>
            <w:tcMar>
              <w:top w:w="16" w:type="dxa"/>
              <w:left w:w="16" w:type="dxa"/>
              <w:bottom w:w="0" w:type="dxa"/>
              <w:right w:w="16" w:type="dxa"/>
            </w:tcMar>
            <w:hideMark/>
          </w:tcPr>
          <w:p w14:paraId="2F3CB913" w14:textId="77777777" w:rsidR="00076E3C" w:rsidRPr="00DD681E" w:rsidRDefault="00076E3C" w:rsidP="002849B3">
            <w:pPr>
              <w:pStyle w:val="Normal1"/>
              <w:spacing w:before="0" w:after="0"/>
              <w:ind w:left="181" w:right="221"/>
              <w:rPr>
                <w:rFonts w:cs="Arial"/>
                <w:szCs w:val="20"/>
              </w:rPr>
            </w:pPr>
            <w:r w:rsidRPr="00DD681E">
              <w:rPr>
                <w:rFonts w:cs="Arial"/>
                <w:szCs w:val="20"/>
              </w:rPr>
              <w:t>Drept de execuţie a lucrărilor de construcţii</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4794D227" w14:textId="77777777" w:rsidR="00076E3C" w:rsidRPr="00DD681E" w:rsidRDefault="00076E3C" w:rsidP="002849B3">
            <w:pPr>
              <w:pStyle w:val="Normal1"/>
              <w:spacing w:before="0" w:after="0"/>
              <w:ind w:left="142" w:right="142"/>
              <w:rPr>
                <w:rStyle w:val="rvts5"/>
                <w:rFonts w:cs="Tahoma"/>
                <w:szCs w:val="20"/>
              </w:rPr>
            </w:pPr>
            <w:r w:rsidRPr="00DD681E">
              <w:rPr>
                <w:rStyle w:val="rvts5"/>
                <w:rFonts w:cs="Tahoma"/>
                <w:szCs w:val="20"/>
              </w:rPr>
              <w:t>Dreptul real sau, după caz, dreptul de creanţă privind imobilul, care conferă titularului dreptul de a obţine, potrivit legii, din partea autorităţii competente, autorizaţia de construire sau de desfiinţare. Dovada dreptului asupra imobilului se face prin actul, denumit titlu, prin care se atestă dreptul de proprietate (precum contractul de vânzare-cumpărare, de schimb, de donaţie, certificatul de moştenitor, actul administrativ de restituire, hotărâre judecătorească) sau printr-un contract de concesiune, contract de cesiune, contract de comodat. Emiterea autorizaţiei de construire în baza unui contract de închiriere se poate face numai pentru construcţii cu caracter provizoriu şi cu acordul expres al proprietarului de drept.</w:t>
            </w:r>
          </w:p>
          <w:p w14:paraId="334EFEF8" w14:textId="77777777" w:rsidR="00076E3C" w:rsidRPr="00DD681E" w:rsidRDefault="00076E3C" w:rsidP="002849B3">
            <w:pPr>
              <w:pStyle w:val="Normal1"/>
              <w:spacing w:before="0" w:after="0"/>
              <w:ind w:left="142" w:right="142"/>
              <w:rPr>
                <w:rFonts w:cs="Arial"/>
                <w:szCs w:val="20"/>
              </w:rPr>
            </w:pPr>
            <w:r w:rsidRPr="00DD681E">
              <w:rPr>
                <w:rStyle w:val="rvts5"/>
                <w:rFonts w:cs="Tahoma"/>
                <w:szCs w:val="20"/>
              </w:rPr>
              <w:t>(Anexa 2 la Legea nr.50/1991 privind autorizarea executării lucrărilor de construcţii, cu modificările şi completările ulterioare)</w:t>
            </w:r>
          </w:p>
        </w:tc>
      </w:tr>
      <w:tr w:rsidR="00EC3D5B" w:rsidRPr="00DD681E" w14:paraId="43EF1D61" w14:textId="77777777" w:rsidTr="008E323C">
        <w:tc>
          <w:tcPr>
            <w:tcW w:w="2426" w:type="dxa"/>
            <w:tcBorders>
              <w:top w:val="single" w:sz="4" w:space="0" w:color="333333"/>
              <w:left w:val="nil"/>
              <w:bottom w:val="single" w:sz="4" w:space="0" w:color="333333"/>
              <w:right w:val="nil"/>
            </w:tcBorders>
            <w:tcMar>
              <w:top w:w="16" w:type="dxa"/>
              <w:left w:w="16" w:type="dxa"/>
              <w:bottom w:w="0" w:type="dxa"/>
              <w:right w:w="16" w:type="dxa"/>
            </w:tcMar>
            <w:hideMark/>
          </w:tcPr>
          <w:p w14:paraId="0242AB11" w14:textId="77777777" w:rsidR="00EC3D5B" w:rsidRPr="00DD681E" w:rsidRDefault="00EC3D5B" w:rsidP="002849B3">
            <w:pPr>
              <w:pStyle w:val="Normal1"/>
              <w:spacing w:before="0" w:after="0"/>
              <w:ind w:left="181" w:right="221"/>
              <w:rPr>
                <w:rFonts w:cs="Arial"/>
                <w:szCs w:val="20"/>
              </w:rPr>
            </w:pPr>
            <w:r w:rsidRPr="00DD681E">
              <w:rPr>
                <w:rFonts w:cs="Arial"/>
                <w:szCs w:val="20"/>
              </w:rPr>
              <w:t>Documentaţie de avizare pentru lucrări de intervenţii</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52A94CAB" w14:textId="77777777" w:rsidR="00EC3D5B" w:rsidRPr="00DD681E" w:rsidRDefault="00EC3D5B" w:rsidP="002849B3">
            <w:pPr>
              <w:pStyle w:val="Normal1"/>
              <w:spacing w:before="0" w:after="0"/>
              <w:ind w:left="142" w:right="142"/>
              <w:rPr>
                <w:rFonts w:cs="Arial"/>
                <w:szCs w:val="20"/>
              </w:rPr>
            </w:pPr>
            <w:r w:rsidRPr="00DD681E">
              <w:rPr>
                <w:rFonts w:cs="Arial"/>
                <w:szCs w:val="20"/>
              </w:rPr>
              <w:t>Documentaţie tehnico-economică similară studiului de fezabilitate, elaborată pe baza concluziilor raportului de expertiză tehnică şi, după caz, a raportului de audit energetic, pentru aprobarea indicatorilor tehnico-economici aferenţi lucrărilor de intervenţii la construcţii existente (Art. 3, Hotărârea Guvernului nr.28/2008</w:t>
            </w:r>
            <w:r w:rsidRPr="00DD681E">
              <w:rPr>
                <w:rStyle w:val="FootnoteReference"/>
                <w:rFonts w:cs="Arial"/>
                <w:szCs w:val="20"/>
              </w:rPr>
              <w:footnoteReference w:id="6"/>
            </w:r>
            <w:r w:rsidRPr="00DD681E">
              <w:rPr>
                <w:rFonts w:cs="Arial"/>
                <w:szCs w:val="20"/>
              </w:rPr>
              <w:t xml:space="preserve"> pentru aprobarea </w:t>
            </w:r>
            <w:r w:rsidRPr="00DD681E">
              <w:rPr>
                <w:rFonts w:cs="Arial"/>
                <w:szCs w:val="20"/>
              </w:rPr>
              <w:lastRenderedPageBreak/>
              <w:t>conţinutului cadru al documentaţiei tehnico-economice aferente investiţiilor publice, precum şi a structurii şi metodologiei de elaborare a devizului general pentru obiective de investiţii şi lucrări de intervenţii)</w:t>
            </w:r>
          </w:p>
        </w:tc>
      </w:tr>
      <w:tr w:rsidR="001970D1" w:rsidRPr="00DD681E" w14:paraId="16D2AE51" w14:textId="77777777" w:rsidTr="008E323C">
        <w:tc>
          <w:tcPr>
            <w:tcW w:w="2426" w:type="dxa"/>
            <w:tcBorders>
              <w:top w:val="single" w:sz="4" w:space="0" w:color="333333"/>
              <w:left w:val="nil"/>
              <w:bottom w:val="single" w:sz="4" w:space="0" w:color="333333"/>
              <w:right w:val="nil"/>
            </w:tcBorders>
            <w:tcMar>
              <w:top w:w="16" w:type="dxa"/>
              <w:left w:w="16" w:type="dxa"/>
              <w:bottom w:w="0" w:type="dxa"/>
              <w:right w:w="16" w:type="dxa"/>
            </w:tcMar>
            <w:hideMark/>
          </w:tcPr>
          <w:p w14:paraId="4746FA3D" w14:textId="77777777" w:rsidR="001970D1" w:rsidRPr="00DD681E" w:rsidRDefault="001970D1" w:rsidP="002849B3">
            <w:pPr>
              <w:pStyle w:val="Normal1"/>
              <w:spacing w:before="0" w:after="0"/>
              <w:ind w:left="181" w:right="221"/>
              <w:rPr>
                <w:rFonts w:cs="Arial"/>
                <w:szCs w:val="20"/>
              </w:rPr>
            </w:pPr>
            <w:r w:rsidRPr="00DD681E">
              <w:rPr>
                <w:rFonts w:cs="Arial"/>
                <w:szCs w:val="20"/>
              </w:rPr>
              <w:lastRenderedPageBreak/>
              <w:t>Instalaţii aferente construcţiilor</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08FAD480" w14:textId="77777777" w:rsidR="001970D1" w:rsidRPr="00DD681E" w:rsidRDefault="001970D1" w:rsidP="002849B3">
            <w:pPr>
              <w:pStyle w:val="Normal1"/>
              <w:spacing w:before="0" w:after="0"/>
              <w:ind w:left="142" w:right="142"/>
              <w:rPr>
                <w:rStyle w:val="rvts5"/>
                <w:rFonts w:cs="Tahoma"/>
                <w:szCs w:val="20"/>
              </w:rPr>
            </w:pPr>
            <w:r w:rsidRPr="00DD681E">
              <w:rPr>
                <w:rStyle w:val="rvts5"/>
                <w:rFonts w:cs="Tahoma"/>
                <w:szCs w:val="20"/>
              </w:rPr>
              <w:t>Totalitatea conductelor şi echipamentelor care asigură utilităţile necesare funcţionării construcţiilor, situate în interiorul limitei de proprietate, de la branşament/racord (inclusiv) la utilizatori, indiferent dacă acestea sunt sau nu încorporate în construcţie. Instalaţiile aferente construcţiilor se autorizează împreună cu acestea sau, după caz, separat.</w:t>
            </w:r>
          </w:p>
          <w:p w14:paraId="19B6D9EA" w14:textId="77777777" w:rsidR="001970D1" w:rsidRPr="00DD681E" w:rsidRDefault="001970D1" w:rsidP="002849B3">
            <w:pPr>
              <w:pStyle w:val="Normal1"/>
              <w:spacing w:before="0" w:after="0"/>
              <w:ind w:left="142" w:right="142"/>
              <w:rPr>
                <w:rFonts w:cs="Arial"/>
                <w:szCs w:val="20"/>
              </w:rPr>
            </w:pPr>
            <w:r w:rsidRPr="00DD681E">
              <w:rPr>
                <w:rStyle w:val="rvts5"/>
                <w:rFonts w:cs="Tahoma"/>
                <w:szCs w:val="20"/>
              </w:rPr>
              <w:t>(Anexa 2 la Legea nr.50/1991 privind autorizarea executării lucrărilor de construcţii, cu modificările şi completările ulterioare)</w:t>
            </w:r>
          </w:p>
        </w:tc>
      </w:tr>
      <w:tr w:rsidR="00EC3D5B" w:rsidRPr="00DD681E" w14:paraId="36463364" w14:textId="77777777" w:rsidTr="008E323C">
        <w:tc>
          <w:tcPr>
            <w:tcW w:w="2426" w:type="dxa"/>
            <w:tcBorders>
              <w:top w:val="single" w:sz="4" w:space="0" w:color="333333"/>
              <w:left w:val="nil"/>
              <w:bottom w:val="single" w:sz="4" w:space="0" w:color="333333"/>
              <w:right w:val="nil"/>
            </w:tcBorders>
            <w:tcMar>
              <w:top w:w="16" w:type="dxa"/>
              <w:left w:w="16" w:type="dxa"/>
              <w:bottom w:w="0" w:type="dxa"/>
              <w:right w:w="16" w:type="dxa"/>
            </w:tcMar>
            <w:hideMark/>
          </w:tcPr>
          <w:p w14:paraId="2B7617C5" w14:textId="77777777" w:rsidR="00EC3D5B" w:rsidRPr="00DD681E" w:rsidRDefault="00EC3D5B" w:rsidP="002849B3">
            <w:pPr>
              <w:pStyle w:val="Normal1"/>
              <w:spacing w:before="0" w:after="0"/>
              <w:ind w:left="181" w:right="221"/>
              <w:rPr>
                <w:rFonts w:cs="Arial"/>
                <w:szCs w:val="20"/>
              </w:rPr>
            </w:pPr>
            <w:r w:rsidRPr="00DD681E">
              <w:rPr>
                <w:rFonts w:cs="Arial"/>
                <w:szCs w:val="20"/>
              </w:rPr>
              <w:t>Lucrări de intervenţii</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6C7A98D6" w14:textId="77777777" w:rsidR="00EC3D5B" w:rsidRPr="00DD681E" w:rsidRDefault="00EC3D5B" w:rsidP="002849B3">
            <w:pPr>
              <w:pStyle w:val="Normal1"/>
              <w:spacing w:before="0" w:after="0"/>
              <w:ind w:left="142" w:right="142"/>
              <w:rPr>
                <w:rFonts w:cs="Arial"/>
                <w:szCs w:val="20"/>
              </w:rPr>
            </w:pPr>
            <w:r w:rsidRPr="00DD681E">
              <w:rPr>
                <w:rFonts w:cs="Arial"/>
                <w:szCs w:val="20"/>
              </w:rPr>
              <w:t>Lucrări la construcţii existente, inclusiv instalaţiile aferente, asimilate obiectivelor de investiţii, care constau în: reparaţii capitale, transformări, modificări, modernizări, consolidări, reabilitări termice, precum şi lucrări de intervenţii pentru prevenirea sau înlăturarea efectelor produse de acţiuni accidentale şi calamităţi naturale, efectuate în scopul asigurării cerinţelor esenţiale de calitate şi funcţionale ale construcţiilor, potrivit destinaţiei lor (Art. 3 din Hotărârea Guvernului nr.28/2008 pentru aprobarea conţinutului cadru al documentaţiei tehnico-economice aferente investiţiilor publice, precum şi a structurii şi metodologiei de elaborare a devizului general pentru obiective de investiţii şi lucrări de intervenţii)</w:t>
            </w:r>
          </w:p>
        </w:tc>
      </w:tr>
      <w:tr w:rsidR="00DB79A0" w:rsidRPr="00DD681E" w14:paraId="159A4414" w14:textId="77777777" w:rsidTr="008E323C">
        <w:tc>
          <w:tcPr>
            <w:tcW w:w="2426" w:type="dxa"/>
            <w:tcBorders>
              <w:top w:val="single" w:sz="4" w:space="0" w:color="333333"/>
              <w:left w:val="nil"/>
              <w:bottom w:val="single" w:sz="4" w:space="0" w:color="333333"/>
              <w:right w:val="nil"/>
            </w:tcBorders>
            <w:tcMar>
              <w:top w:w="16" w:type="dxa"/>
              <w:left w:w="16" w:type="dxa"/>
              <w:bottom w:w="0" w:type="dxa"/>
              <w:right w:w="16" w:type="dxa"/>
            </w:tcMar>
            <w:hideMark/>
          </w:tcPr>
          <w:p w14:paraId="3E2E61AA" w14:textId="77777777" w:rsidR="00DB79A0" w:rsidRPr="00DD681E" w:rsidRDefault="00DB79A0" w:rsidP="002849B3">
            <w:pPr>
              <w:pStyle w:val="Normal1"/>
              <w:spacing w:before="0" w:after="0"/>
              <w:ind w:left="181" w:right="221"/>
              <w:rPr>
                <w:rFonts w:cs="Arial"/>
                <w:szCs w:val="20"/>
              </w:rPr>
            </w:pPr>
            <w:r w:rsidRPr="00DD681E">
              <w:rPr>
                <w:rFonts w:cs="Arial"/>
                <w:szCs w:val="20"/>
              </w:rPr>
              <w:t>Lucrări de modernizare</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14658489" w14:textId="77777777" w:rsidR="00DB79A0" w:rsidRPr="00DD681E" w:rsidRDefault="00DB79A0" w:rsidP="002849B3">
            <w:pPr>
              <w:pStyle w:val="Normal1"/>
              <w:spacing w:before="0" w:after="0"/>
              <w:ind w:left="142" w:right="142"/>
              <w:rPr>
                <w:rFonts w:cs="Arial"/>
                <w:szCs w:val="20"/>
              </w:rPr>
            </w:pPr>
            <w:r w:rsidRPr="00DD681E">
              <w:rPr>
                <w:rFonts w:cs="Arial"/>
                <w:szCs w:val="20"/>
              </w:rPr>
              <w:t>Lucrări fizice exprimate cantitativ, calitativ şi valoric, pentru ridicarea nivelului performanţelor prevăzute iniţial.</w:t>
            </w:r>
            <w:r w:rsidRPr="00DD681E">
              <w:rPr>
                <w:szCs w:val="20"/>
              </w:rPr>
              <w:t xml:space="preserve"> Lucrări de construcţii şi instalaţii aferente construcţiilor existente precum şi lucrările de retehnologizare ce se realizează peste durata normală de funcţionare a unei construcţii, lucrări care, odată realizate, aduc construcţia respectivă la o nouă stare de exploatare.</w:t>
            </w:r>
          </w:p>
        </w:tc>
      </w:tr>
      <w:tr w:rsidR="00DB79A0" w:rsidRPr="00DD681E" w14:paraId="30E57833" w14:textId="77777777" w:rsidTr="008E323C">
        <w:tc>
          <w:tcPr>
            <w:tcW w:w="2426" w:type="dxa"/>
            <w:tcBorders>
              <w:top w:val="single" w:sz="4" w:space="0" w:color="333333"/>
              <w:left w:val="nil"/>
              <w:bottom w:val="single" w:sz="4" w:space="0" w:color="333333"/>
              <w:right w:val="nil"/>
            </w:tcBorders>
            <w:tcMar>
              <w:top w:w="16" w:type="dxa"/>
              <w:left w:w="16" w:type="dxa"/>
              <w:bottom w:w="0" w:type="dxa"/>
              <w:right w:w="16" w:type="dxa"/>
            </w:tcMar>
            <w:hideMark/>
          </w:tcPr>
          <w:p w14:paraId="5A32719B" w14:textId="77777777" w:rsidR="00DB79A0" w:rsidRPr="00DD681E" w:rsidRDefault="00DB79A0" w:rsidP="002849B3">
            <w:pPr>
              <w:pStyle w:val="Normal1"/>
              <w:spacing w:before="0" w:after="0"/>
              <w:ind w:left="181" w:right="221"/>
              <w:rPr>
                <w:rFonts w:cs="Arial"/>
                <w:szCs w:val="20"/>
              </w:rPr>
            </w:pPr>
            <w:r w:rsidRPr="00DD681E">
              <w:rPr>
                <w:rFonts w:cs="Arial"/>
                <w:szCs w:val="20"/>
              </w:rPr>
              <w:t>Lucrări de modernizare a străzilor/drumurilor</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5C3D25F1" w14:textId="77777777" w:rsidR="00DB79A0" w:rsidRPr="00DD681E" w:rsidRDefault="00DB79A0" w:rsidP="002849B3">
            <w:pPr>
              <w:pStyle w:val="Normal1"/>
              <w:spacing w:before="0" w:after="0"/>
              <w:ind w:left="142" w:right="142"/>
              <w:rPr>
                <w:rFonts w:cs="Arial"/>
                <w:szCs w:val="20"/>
              </w:rPr>
            </w:pPr>
            <w:r w:rsidRPr="00DD681E">
              <w:rPr>
                <w:rFonts w:cs="Arial"/>
                <w:szCs w:val="20"/>
              </w:rPr>
              <w:t>Lucrări fizice exprimate cantitativ, calitativ şi valoric, pentru ridicarea nivelului performanţelor prevăzute iniţial la construirea drumului, constând în  amenajări complexe ale drumului existent prin sistematizarea elementelor geometrice şi aplicarea unei îmbrăcăminţi moderne în cadrul unui sistem rutier dimensionat conform reglementărilor tehnice în vigoare.</w:t>
            </w:r>
          </w:p>
        </w:tc>
      </w:tr>
      <w:tr w:rsidR="00DB79A0" w:rsidRPr="00DD681E" w14:paraId="76888055" w14:textId="77777777" w:rsidTr="008E323C">
        <w:tc>
          <w:tcPr>
            <w:tcW w:w="2426" w:type="dxa"/>
            <w:tcBorders>
              <w:top w:val="single" w:sz="4" w:space="0" w:color="333333"/>
              <w:left w:val="nil"/>
              <w:bottom w:val="single" w:sz="4" w:space="0" w:color="333333"/>
              <w:right w:val="nil"/>
            </w:tcBorders>
            <w:tcMar>
              <w:top w:w="16" w:type="dxa"/>
              <w:left w:w="16" w:type="dxa"/>
              <w:bottom w:w="0" w:type="dxa"/>
              <w:right w:w="16" w:type="dxa"/>
            </w:tcMar>
            <w:hideMark/>
          </w:tcPr>
          <w:p w14:paraId="6E411AB6" w14:textId="185A788B" w:rsidR="00DB79A0" w:rsidRPr="00DD681E" w:rsidRDefault="004D19C0" w:rsidP="002849B3">
            <w:pPr>
              <w:spacing w:before="0" w:after="0"/>
              <w:ind w:left="181" w:right="221"/>
              <w:jc w:val="both"/>
              <w:rPr>
                <w:szCs w:val="20"/>
              </w:rPr>
            </w:pPr>
            <w:r>
              <w:rPr>
                <w:szCs w:val="20"/>
              </w:rPr>
              <w:t>Activitati de extindere</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52AA9E52" w14:textId="5692E974" w:rsidR="00DB79A0" w:rsidRPr="00DD681E" w:rsidRDefault="004D19C0" w:rsidP="002849B3">
            <w:pPr>
              <w:spacing w:before="0" w:after="0"/>
              <w:ind w:left="142" w:right="142"/>
              <w:jc w:val="both"/>
              <w:rPr>
                <w:szCs w:val="20"/>
              </w:rPr>
            </w:pPr>
            <w:r>
              <w:t xml:space="preserve">În sensul prezentului Ghid, lucrări asupra unor clădiri, realizate atât pe verticală, prin construirea de etaje noi, mansarde, cât şi pe orizontală prin construirea unui corp anexă în continuarea clădirii existente </w:t>
            </w:r>
            <w:r>
              <w:rPr>
                <w:b/>
                <w:bCs/>
              </w:rPr>
              <w:t>sau pe acelasi amplasament</w:t>
            </w:r>
            <w:r>
              <w:t xml:space="preserve">, care să fie legat structural </w:t>
            </w:r>
            <w:r>
              <w:rPr>
                <w:b/>
                <w:bCs/>
              </w:rPr>
              <w:t>şi/sau</w:t>
            </w:r>
            <w:r>
              <w:t xml:space="preserve"> funcţional de clădirea existentă (aceeaşi destinaţie şi funcţionare a corpului anexă condiţionată de funcţionarea construcţiei iniţiale </w:t>
            </w:r>
            <w:r>
              <w:rPr>
                <w:b/>
                <w:bCs/>
              </w:rPr>
              <w:t>sau ca o completare necesara</w:t>
            </w:r>
            <w:r>
              <w:t xml:space="preserve"> la functionalitatea cladirii existente).</w:t>
            </w:r>
          </w:p>
        </w:tc>
      </w:tr>
      <w:tr w:rsidR="002930C0" w:rsidRPr="00DD681E" w14:paraId="351F9A6B" w14:textId="77777777" w:rsidTr="008E323C">
        <w:tc>
          <w:tcPr>
            <w:tcW w:w="2426" w:type="dxa"/>
            <w:tcBorders>
              <w:top w:val="single" w:sz="4" w:space="0" w:color="333333"/>
              <w:left w:val="nil"/>
              <w:bottom w:val="single" w:sz="4" w:space="0" w:color="333333"/>
              <w:right w:val="nil"/>
            </w:tcBorders>
            <w:tcMar>
              <w:top w:w="16" w:type="dxa"/>
              <w:left w:w="16" w:type="dxa"/>
              <w:bottom w:w="0" w:type="dxa"/>
              <w:right w:w="16" w:type="dxa"/>
            </w:tcMar>
            <w:hideMark/>
          </w:tcPr>
          <w:p w14:paraId="6DB04732" w14:textId="4A818A59" w:rsidR="002930C0" w:rsidRPr="00E171EE" w:rsidRDefault="002930C0" w:rsidP="002849B3">
            <w:pPr>
              <w:spacing w:before="0" w:after="0"/>
              <w:ind w:left="181" w:right="221"/>
              <w:jc w:val="both"/>
              <w:rPr>
                <w:szCs w:val="20"/>
              </w:rPr>
            </w:pPr>
            <w:r w:rsidRPr="00E171EE">
              <w:rPr>
                <w:szCs w:val="20"/>
              </w:rPr>
              <w:t>Mediu urban</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1EA82EFE" w14:textId="47C95D9C" w:rsidR="002930C0" w:rsidRPr="00E171EE" w:rsidRDefault="008847AA" w:rsidP="002849B3">
            <w:pPr>
              <w:spacing w:before="0" w:after="0"/>
              <w:ind w:left="142" w:right="142"/>
              <w:jc w:val="both"/>
              <w:rPr>
                <w:szCs w:val="20"/>
              </w:rPr>
            </w:pPr>
            <w:r w:rsidRPr="00E171EE">
              <w:rPr>
                <w:szCs w:val="20"/>
              </w:rPr>
              <w:t>Ansamblul oraşelor şi municipiilor definite ca unităţi administrative teritoriale care include atât localităţile componente cât şi satele aparţinătoare acestora.</w:t>
            </w:r>
          </w:p>
        </w:tc>
      </w:tr>
      <w:tr w:rsidR="002930C0" w:rsidRPr="00DD681E" w14:paraId="6E2134C1" w14:textId="77777777" w:rsidTr="008E323C">
        <w:tc>
          <w:tcPr>
            <w:tcW w:w="2426" w:type="dxa"/>
            <w:tcBorders>
              <w:top w:val="single" w:sz="4" w:space="0" w:color="333333"/>
              <w:left w:val="nil"/>
              <w:bottom w:val="single" w:sz="4" w:space="0" w:color="333333"/>
              <w:right w:val="nil"/>
            </w:tcBorders>
            <w:tcMar>
              <w:top w:w="16" w:type="dxa"/>
              <w:left w:w="16" w:type="dxa"/>
              <w:bottom w:w="0" w:type="dxa"/>
              <w:right w:w="16" w:type="dxa"/>
            </w:tcMar>
            <w:hideMark/>
          </w:tcPr>
          <w:p w14:paraId="1873D40A" w14:textId="5C3803B0" w:rsidR="002930C0" w:rsidRPr="00E171EE" w:rsidRDefault="002930C0" w:rsidP="002849B3">
            <w:pPr>
              <w:spacing w:before="0" w:after="0"/>
              <w:ind w:left="181" w:right="221"/>
              <w:jc w:val="both"/>
              <w:rPr>
                <w:szCs w:val="20"/>
              </w:rPr>
            </w:pPr>
            <w:r w:rsidRPr="00E171EE">
              <w:rPr>
                <w:szCs w:val="20"/>
              </w:rPr>
              <w:t>Mediu rural</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2E9A3CF4" w14:textId="47DA7842" w:rsidR="002930C0" w:rsidRPr="00E171EE" w:rsidRDefault="002930C0" w:rsidP="002849B3">
            <w:pPr>
              <w:spacing w:before="0" w:after="0"/>
              <w:ind w:left="142" w:right="142"/>
              <w:jc w:val="both"/>
              <w:rPr>
                <w:szCs w:val="20"/>
              </w:rPr>
            </w:pPr>
            <w:r w:rsidRPr="00E171EE">
              <w:rPr>
                <w:szCs w:val="20"/>
              </w:rPr>
              <w:t xml:space="preserve">Localităţi de rang IV şi V (sate reşedinţă de comună, sate componente ale comunelor </w:t>
            </w:r>
            <w:r w:rsidR="008847AA" w:rsidRPr="00E171EE">
              <w:rPr>
                <w:szCs w:val="20"/>
              </w:rPr>
              <w:t xml:space="preserve">definite </w:t>
            </w:r>
            <w:r w:rsidRPr="00E171EE">
              <w:rPr>
                <w:szCs w:val="20"/>
              </w:rPr>
              <w:t>conform Legii nr. 351/2001 privind aprobarea Planului de amenajare a teritoriului naţional, cu modificările şi completările ulterioare</w:t>
            </w:r>
            <w:r w:rsidR="008847AA" w:rsidRPr="00E171EE">
              <w:rPr>
                <w:szCs w:val="20"/>
              </w:rPr>
              <w:t>, cu excepţia satelor aparţinând municipiilor sau oraşelor incluse in mediul urban.</w:t>
            </w:r>
          </w:p>
        </w:tc>
      </w:tr>
      <w:tr w:rsidR="00945A6D" w:rsidRPr="00DD681E" w14:paraId="511056AB" w14:textId="77777777" w:rsidTr="008E323C">
        <w:tc>
          <w:tcPr>
            <w:tcW w:w="2426" w:type="dxa"/>
            <w:tcBorders>
              <w:top w:val="single" w:sz="4" w:space="0" w:color="333333"/>
              <w:left w:val="nil"/>
              <w:bottom w:val="single" w:sz="4" w:space="0" w:color="333333"/>
              <w:right w:val="nil"/>
            </w:tcBorders>
            <w:tcMar>
              <w:top w:w="16" w:type="dxa"/>
              <w:left w:w="16" w:type="dxa"/>
              <w:bottom w:w="0" w:type="dxa"/>
              <w:right w:w="16" w:type="dxa"/>
            </w:tcMar>
            <w:hideMark/>
          </w:tcPr>
          <w:p w14:paraId="0AF1C155" w14:textId="77777777" w:rsidR="00945A6D" w:rsidRPr="00DD681E" w:rsidRDefault="00945A6D" w:rsidP="002849B3">
            <w:pPr>
              <w:pStyle w:val="Normal1"/>
              <w:spacing w:before="0" w:after="0"/>
              <w:ind w:left="181" w:right="221"/>
              <w:rPr>
                <w:rFonts w:cs="Arial"/>
                <w:szCs w:val="20"/>
              </w:rPr>
            </w:pPr>
            <w:r w:rsidRPr="00DD681E">
              <w:rPr>
                <w:rFonts w:cs="Arial"/>
                <w:szCs w:val="20"/>
              </w:rPr>
              <w:t>Mobilier urban</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77929F09" w14:textId="77777777" w:rsidR="00945A6D" w:rsidRPr="00DD681E" w:rsidRDefault="00945A6D" w:rsidP="002849B3">
            <w:pPr>
              <w:pStyle w:val="Normal1"/>
              <w:spacing w:before="0" w:after="0"/>
              <w:ind w:left="142" w:right="142"/>
              <w:rPr>
                <w:rStyle w:val="rvts5"/>
                <w:rFonts w:cs="Tahoma"/>
                <w:szCs w:val="20"/>
              </w:rPr>
            </w:pPr>
            <w:r w:rsidRPr="00DD681E">
              <w:rPr>
                <w:rStyle w:val="rvts5"/>
                <w:rFonts w:cs="Tahoma"/>
                <w:szCs w:val="20"/>
              </w:rPr>
              <w:t xml:space="preserve">Elementele funcţionale şi/sau decorative amplasate în spaţiile publice care, prin alcătuire, aspect, amplasare, conferă personalitate aparte zonei sau localităţii. Prin natura lor piesele de mobilier urban sunt asimilate construcţiilor dacă amplasarea lor se face prin legare constructivă la sol (fundaţii platforme de beton, racorduri la utilităţi urbane, cu excepţia energiei electrice), necesitând emiterea autorizaţiei de construire. Fac parte din categoria mobilier urban: jardiniere, lampadare, bănci, bazine, pavaje decorative, pergole, cabine telefonice </w:t>
            </w:r>
            <w:r w:rsidRPr="00DD681E">
              <w:rPr>
                <w:rStyle w:val="rvts5"/>
                <w:rFonts w:cs="Tahoma"/>
                <w:szCs w:val="20"/>
              </w:rPr>
              <w:lastRenderedPageBreak/>
              <w:t>şi altele asemenea.</w:t>
            </w:r>
          </w:p>
          <w:p w14:paraId="4EEC0F35" w14:textId="77777777" w:rsidR="00945A6D" w:rsidRPr="00DD681E" w:rsidRDefault="00945A6D" w:rsidP="002849B3">
            <w:pPr>
              <w:pStyle w:val="Normal1"/>
              <w:spacing w:before="0" w:after="0"/>
              <w:ind w:left="142" w:right="142"/>
              <w:rPr>
                <w:rFonts w:cs="Arial"/>
                <w:szCs w:val="20"/>
              </w:rPr>
            </w:pPr>
            <w:r w:rsidRPr="00DD681E">
              <w:rPr>
                <w:rStyle w:val="rvts5"/>
                <w:rFonts w:cs="Tahoma"/>
                <w:szCs w:val="20"/>
              </w:rPr>
              <w:t>(Anexa 2 la Legea nr.50/1991 privind autorizarea executării lucrărilor de construcţii, cu modificările şi completările ulterioare)</w:t>
            </w:r>
          </w:p>
        </w:tc>
      </w:tr>
      <w:tr w:rsidR="00893564" w:rsidRPr="00DD681E" w14:paraId="238FF4A7" w14:textId="77777777" w:rsidTr="008E323C">
        <w:tc>
          <w:tcPr>
            <w:tcW w:w="2426" w:type="dxa"/>
            <w:tcBorders>
              <w:top w:val="single" w:sz="4" w:space="0" w:color="333333"/>
              <w:left w:val="nil"/>
              <w:bottom w:val="single" w:sz="4" w:space="0" w:color="333333"/>
              <w:right w:val="nil"/>
            </w:tcBorders>
            <w:tcMar>
              <w:top w:w="16" w:type="dxa"/>
              <w:left w:w="16" w:type="dxa"/>
              <w:bottom w:w="0" w:type="dxa"/>
              <w:right w:w="16" w:type="dxa"/>
            </w:tcMar>
            <w:hideMark/>
          </w:tcPr>
          <w:p w14:paraId="7AD9C5F8" w14:textId="77777777" w:rsidR="00893564" w:rsidRPr="00DD681E" w:rsidRDefault="00893564" w:rsidP="002849B3">
            <w:pPr>
              <w:spacing w:before="0" w:after="0"/>
              <w:ind w:left="181" w:right="221"/>
              <w:jc w:val="both"/>
              <w:rPr>
                <w:rFonts w:eastAsia="Arial Unicode MS"/>
                <w:szCs w:val="20"/>
              </w:rPr>
            </w:pPr>
            <w:r w:rsidRPr="00DD681E">
              <w:rPr>
                <w:szCs w:val="20"/>
              </w:rPr>
              <w:lastRenderedPageBreak/>
              <w:t>Utilităţi publice (servicii comunitare de utilităţi publice / infrastructura de utilităţi publice)</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0F8CB1DC" w14:textId="77777777" w:rsidR="00893564" w:rsidRPr="00DD681E" w:rsidRDefault="00893564" w:rsidP="002849B3">
            <w:pPr>
              <w:spacing w:before="0" w:after="0"/>
              <w:ind w:left="142" w:right="142"/>
              <w:jc w:val="both"/>
              <w:rPr>
                <w:rFonts w:eastAsia="Arial Unicode MS"/>
                <w:szCs w:val="20"/>
              </w:rPr>
            </w:pPr>
            <w:r w:rsidRPr="00DD681E">
              <w:rPr>
                <w:szCs w:val="20"/>
              </w:rPr>
              <w:t>Totalitatea activităţilor de utilitate şi interes public general, desfăşurate la nivelul comunelor, oraşelor, municipiilor sau judeţelor sub conducerea, coordonarea şi responsabilitatea autorităţilor administraţiei publice locale, în scopul satisfacerii cerinţelor comunităţilor locale, prin care se asigură următoarele utilităţi: alimentarea cu apă; canalizarea şi epurarea apelor uzate; colectarea, canalizarea şi evacuarea apelor pluviale; producţia, transportul, distribuţia şi furnizarea de energie termică în sistem centralizat; salubrizarea localităţilor; iluminatul public; administrarea domeniului public şi privat al unităţilor administrativ - teritoriale, precum şi altele asemenea; transportul public local.</w:t>
            </w:r>
          </w:p>
        </w:tc>
      </w:tr>
      <w:tr w:rsidR="00893564" w:rsidRPr="00DD681E" w14:paraId="61371B74" w14:textId="77777777" w:rsidTr="008E323C">
        <w:tc>
          <w:tcPr>
            <w:tcW w:w="2426" w:type="dxa"/>
            <w:tcBorders>
              <w:top w:val="single" w:sz="4" w:space="0" w:color="333333"/>
              <w:left w:val="nil"/>
              <w:bottom w:val="single" w:sz="4" w:space="0" w:color="333333"/>
              <w:right w:val="nil"/>
            </w:tcBorders>
            <w:tcMar>
              <w:top w:w="16" w:type="dxa"/>
              <w:left w:w="16" w:type="dxa"/>
              <w:bottom w:w="0" w:type="dxa"/>
              <w:right w:w="16" w:type="dxa"/>
            </w:tcMar>
            <w:hideMark/>
          </w:tcPr>
          <w:p w14:paraId="64A97931" w14:textId="77777777" w:rsidR="00893564" w:rsidRPr="00DD681E" w:rsidRDefault="00893564" w:rsidP="002849B3">
            <w:pPr>
              <w:pStyle w:val="Normal1"/>
              <w:spacing w:before="0" w:after="0"/>
              <w:ind w:left="181" w:right="221"/>
              <w:rPr>
                <w:rFonts w:eastAsia="Arial Unicode MS" w:cs="Arial"/>
                <w:szCs w:val="20"/>
              </w:rPr>
            </w:pPr>
            <w:r w:rsidRPr="00DD681E">
              <w:rPr>
                <w:rFonts w:cs="Arial"/>
                <w:szCs w:val="20"/>
              </w:rPr>
              <w:t xml:space="preserve">Zone de siguranţă </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549B346D" w14:textId="77777777" w:rsidR="00893564" w:rsidRPr="00DD681E" w:rsidRDefault="00893564" w:rsidP="002849B3">
            <w:pPr>
              <w:pStyle w:val="Normal1"/>
              <w:spacing w:before="0" w:after="0"/>
              <w:ind w:left="142" w:right="142"/>
              <w:rPr>
                <w:rFonts w:eastAsia="Arial Unicode MS" w:cs="Arial"/>
                <w:szCs w:val="20"/>
              </w:rPr>
            </w:pPr>
            <w:r w:rsidRPr="00DD681E">
              <w:rPr>
                <w:rFonts w:cs="Arial"/>
                <w:szCs w:val="20"/>
              </w:rPr>
              <w:t>Suprafeţele de teren situate de o parte şi de cealaltă a drumului, destinate exclusiv pentru semnalizarea rutieră, pentru plantaţie rutieră sau alte scopuri legate de întreţinerea şi exploatarea drumului, pentru siguranţa circulaţiei ori pentru protecţia proprietăţilor situate în vecinătatea drumului.</w:t>
            </w:r>
          </w:p>
        </w:tc>
      </w:tr>
    </w:tbl>
    <w:p w14:paraId="1A251386" w14:textId="77777777" w:rsidR="00822F4B" w:rsidRPr="00DD681E" w:rsidRDefault="00822F4B" w:rsidP="002849B3">
      <w:pPr>
        <w:spacing w:before="0" w:after="0"/>
        <w:jc w:val="both"/>
        <w:rPr>
          <w:szCs w:val="20"/>
        </w:rPr>
      </w:pPr>
    </w:p>
    <w:p w14:paraId="1B6AC21D" w14:textId="77777777" w:rsidR="00822F4B" w:rsidRPr="00DD681E" w:rsidRDefault="00822F4B" w:rsidP="002849B3">
      <w:pPr>
        <w:spacing w:before="0" w:after="0"/>
        <w:jc w:val="both"/>
        <w:rPr>
          <w:b/>
          <w:szCs w:val="20"/>
        </w:rPr>
      </w:pPr>
      <w:r w:rsidRPr="00DD681E">
        <w:rPr>
          <w:b/>
          <w:szCs w:val="20"/>
        </w:rPr>
        <w:t>Servicii sociale</w:t>
      </w:r>
    </w:p>
    <w:tbl>
      <w:tblPr>
        <w:tblW w:w="9195" w:type="dxa"/>
        <w:tblBorders>
          <w:top w:val="single" w:sz="4" w:space="0" w:color="333333"/>
          <w:bottom w:val="single" w:sz="4" w:space="0" w:color="333333"/>
          <w:insideH w:val="single" w:sz="4" w:space="0" w:color="333333"/>
        </w:tblBorders>
        <w:tblLayout w:type="fixed"/>
        <w:tblCellMar>
          <w:left w:w="0" w:type="dxa"/>
          <w:right w:w="0" w:type="dxa"/>
        </w:tblCellMar>
        <w:tblLook w:val="04A0" w:firstRow="1" w:lastRow="0" w:firstColumn="1" w:lastColumn="0" w:noHBand="0" w:noVBand="1"/>
      </w:tblPr>
      <w:tblGrid>
        <w:gridCol w:w="2230"/>
        <w:gridCol w:w="6965"/>
      </w:tblGrid>
      <w:tr w:rsidR="00822F4B" w:rsidRPr="00DD681E" w14:paraId="387D2AAF" w14:textId="77777777" w:rsidTr="00627FDE">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69A5A27B" w14:textId="77777777" w:rsidR="00822F4B" w:rsidRPr="00DD681E" w:rsidRDefault="00822F4B" w:rsidP="002849B3">
            <w:pPr>
              <w:pStyle w:val="Normal1"/>
              <w:spacing w:before="0" w:after="0"/>
              <w:ind w:left="181" w:right="221"/>
              <w:rPr>
                <w:rStyle w:val="def"/>
                <w:rFonts w:cs="Arial"/>
                <w:szCs w:val="20"/>
              </w:rPr>
            </w:pPr>
            <w:r w:rsidRPr="00DD681E">
              <w:rPr>
                <w:rFonts w:cs="Arial"/>
                <w:szCs w:val="20"/>
              </w:rPr>
              <w:t>Acreditarea furnizorului de servicii sociale</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1257419F" w14:textId="77777777" w:rsidR="00822F4B" w:rsidRPr="00DD681E" w:rsidRDefault="00822F4B" w:rsidP="002849B3">
            <w:pPr>
              <w:pStyle w:val="Normal1"/>
              <w:autoSpaceDE w:val="0"/>
              <w:autoSpaceDN w:val="0"/>
              <w:adjustRightInd w:val="0"/>
              <w:spacing w:before="0" w:after="0"/>
              <w:ind w:left="142" w:right="142"/>
              <w:rPr>
                <w:rStyle w:val="def"/>
                <w:rFonts w:cs="Arial"/>
                <w:szCs w:val="20"/>
              </w:rPr>
            </w:pPr>
            <w:r w:rsidRPr="00DD681E">
              <w:rPr>
                <w:rFonts w:cs="Arial"/>
                <w:szCs w:val="20"/>
              </w:rPr>
              <w:t xml:space="preserve">Conform art. 5, lit. i) din Legea nr. </w:t>
            </w:r>
            <w:r w:rsidRPr="00DD681E">
              <w:rPr>
                <w:rFonts w:cs="Helvetica"/>
                <w:color w:val="000000"/>
                <w:szCs w:val="20"/>
              </w:rPr>
              <w:t xml:space="preserve"> 292/2011 a asistenţei sociale</w:t>
            </w:r>
            <w:r w:rsidRPr="00DD681E">
              <w:rPr>
                <w:rFonts w:cs="Arial"/>
                <w:szCs w:val="20"/>
              </w:rPr>
              <w:t>, acreditarea reprezintă procesul prin care furnizorul de servicii sociale îşi demonstrează propria capacitate funcţională, organizaţională şi administrativă în acordarea serviciilor sociale, cu condiţia respectării standardelor de calitate în vigoare, iar statul recunoaşte competenţa acestuia de a acorda servicii sociale</w:t>
            </w:r>
          </w:p>
        </w:tc>
      </w:tr>
      <w:tr w:rsidR="00822F4B" w:rsidRPr="00DD681E" w14:paraId="0AD88A3C" w14:textId="77777777" w:rsidTr="00627FDE">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34DB3EB6" w14:textId="77777777" w:rsidR="00822F4B" w:rsidRPr="00DD681E" w:rsidRDefault="00822F4B" w:rsidP="002849B3">
            <w:pPr>
              <w:pStyle w:val="Normal1"/>
              <w:spacing w:before="0" w:after="0"/>
              <w:ind w:left="181" w:right="221"/>
              <w:rPr>
                <w:rFonts w:cs="Arial"/>
                <w:szCs w:val="20"/>
              </w:rPr>
            </w:pPr>
            <w:r w:rsidRPr="00DD681E">
              <w:rPr>
                <w:rFonts w:cs="Arial"/>
                <w:szCs w:val="20"/>
              </w:rPr>
              <w:t>Beneficiarii de servicii sociale</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5A019C5D" w14:textId="77777777" w:rsidR="00822F4B" w:rsidRPr="00DD681E" w:rsidRDefault="00822F4B" w:rsidP="002849B3">
            <w:pPr>
              <w:pStyle w:val="Normal1"/>
              <w:spacing w:before="0" w:after="0"/>
              <w:ind w:left="142" w:right="142"/>
              <w:rPr>
                <w:rFonts w:eastAsia="Arial Unicode MS" w:cs="Arial"/>
                <w:szCs w:val="20"/>
              </w:rPr>
            </w:pPr>
            <w:r w:rsidRPr="00DD681E">
              <w:rPr>
                <w:rFonts w:cs="Arial"/>
                <w:szCs w:val="20"/>
              </w:rPr>
              <w:t>Pot fi: copii, persoane vârstnice, persoane cu handicap, persoane dependente de consumul de droguri, alcool sau alte substanţe toxice, persoane care au părăsit penitenciarele, familii monoparentale, persoane afectate de violenţa în familie, victime ale traficului de fiinţe umane, persoane infectate sau bolnave HIV/SIDA, fără venituri sau cu venituri mici, imigranţi, persoane fără adăpost, bolnavi cronici, persoane care suferă de boli incurabile, precum şi alte persoane aflate în situaţii de nevoie socială. (art. 25 din Ordonanţa nr. 68 /28 august 2003</w:t>
            </w:r>
            <w:r w:rsidRPr="00DD681E">
              <w:rPr>
                <w:rStyle w:val="FootnoteReference"/>
                <w:rFonts w:cs="Arial"/>
                <w:szCs w:val="20"/>
              </w:rPr>
              <w:footnoteReference w:id="7"/>
            </w:r>
            <w:r w:rsidRPr="00DD681E">
              <w:rPr>
                <w:rFonts w:cs="Arial"/>
                <w:szCs w:val="20"/>
              </w:rPr>
              <w:t xml:space="preserve"> privind serviciile sociale, cu modificările şi completările ulterioare)</w:t>
            </w:r>
          </w:p>
        </w:tc>
      </w:tr>
      <w:tr w:rsidR="00822F4B" w:rsidRPr="00DD681E" w14:paraId="2626AF7D" w14:textId="77777777" w:rsidTr="00627FDE">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303BC93C" w14:textId="77777777" w:rsidR="00822F4B" w:rsidRPr="00DD681E" w:rsidRDefault="00822F4B" w:rsidP="002849B3">
            <w:pPr>
              <w:pStyle w:val="Normal1"/>
              <w:spacing w:before="0" w:after="0"/>
              <w:ind w:left="181" w:right="221"/>
              <w:rPr>
                <w:rFonts w:cs="Arial"/>
                <w:szCs w:val="20"/>
              </w:rPr>
            </w:pPr>
            <w:r w:rsidRPr="00DD681E">
              <w:rPr>
                <w:rFonts w:cs="Arial"/>
                <w:bCs/>
                <w:szCs w:val="20"/>
              </w:rPr>
              <w:t>C</w:t>
            </w:r>
            <w:r w:rsidRPr="00DD681E">
              <w:rPr>
                <w:rFonts w:cs="Arial"/>
                <w:szCs w:val="20"/>
              </w:rPr>
              <w:t>entrele sociale cu destinaţie multifuncţională</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00A3C76F" w14:textId="77777777" w:rsidR="00822F4B" w:rsidRPr="00DD681E" w:rsidRDefault="00822F4B" w:rsidP="002849B3">
            <w:pPr>
              <w:spacing w:before="0" w:after="0"/>
              <w:ind w:left="142" w:right="142"/>
              <w:jc w:val="both"/>
              <w:rPr>
                <w:rFonts w:cs="Arial"/>
                <w:szCs w:val="20"/>
              </w:rPr>
            </w:pPr>
            <w:r w:rsidRPr="00DD681E">
              <w:rPr>
                <w:rFonts w:cs="Arial"/>
                <w:szCs w:val="20"/>
              </w:rPr>
              <w:t xml:space="preserve">Centre care pot acoperi o gamă variată de servicii, care includ şi servicii sociale primare, cu scopul de a ajuta persoanele în dificultate, începând cu acceptarea lor în centru, până la rezolvarea  unor probleme specifice cu care acestea se confruntă, temporar, inclusiv prin organizarea unor ateliere de lucru pentru dezvoltarea deprinderilor de viaţă independente şi a competenţelor profesionale. </w:t>
            </w:r>
          </w:p>
        </w:tc>
      </w:tr>
      <w:tr w:rsidR="00822F4B" w:rsidRPr="00DD681E" w14:paraId="2CF158BC" w14:textId="77777777" w:rsidTr="00627FDE">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352710CC" w14:textId="77777777" w:rsidR="00822F4B" w:rsidRPr="00DD681E" w:rsidRDefault="00822F4B" w:rsidP="002849B3">
            <w:pPr>
              <w:pStyle w:val="CommentText"/>
              <w:spacing w:before="0" w:after="0"/>
              <w:ind w:left="181" w:right="221"/>
              <w:jc w:val="both"/>
              <w:rPr>
                <w:rFonts w:cs="Arial"/>
              </w:rPr>
            </w:pPr>
            <w:r w:rsidRPr="00DD681E">
              <w:rPr>
                <w:rFonts w:cs="Arial"/>
              </w:rPr>
              <w:t>Furnizorii de servicii sociale publici</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36BC44E7" w14:textId="77777777" w:rsidR="00822F4B" w:rsidRPr="00DD681E" w:rsidRDefault="00822F4B" w:rsidP="002849B3">
            <w:pPr>
              <w:pStyle w:val="Normal1"/>
              <w:numPr>
                <w:ilvl w:val="0"/>
                <w:numId w:val="10"/>
              </w:numPr>
              <w:spacing w:before="0" w:after="0"/>
              <w:ind w:right="142"/>
              <w:rPr>
                <w:rFonts w:cs="Arial"/>
                <w:szCs w:val="20"/>
              </w:rPr>
            </w:pPr>
            <w:r w:rsidRPr="00DD681E">
              <w:rPr>
                <w:rFonts w:cs="Arial"/>
                <w:szCs w:val="20"/>
              </w:rPr>
              <w:t xml:space="preserve">serviciul public de asistenţă socială la nivel judeţean şi local, </w:t>
            </w:r>
          </w:p>
          <w:p w14:paraId="6FAC2B7E" w14:textId="77777777" w:rsidR="00822F4B" w:rsidRPr="00DD681E" w:rsidRDefault="00822F4B" w:rsidP="002849B3">
            <w:pPr>
              <w:pStyle w:val="Normal1"/>
              <w:numPr>
                <w:ilvl w:val="0"/>
                <w:numId w:val="10"/>
              </w:numPr>
              <w:spacing w:before="0" w:after="0"/>
              <w:ind w:right="142"/>
              <w:rPr>
                <w:rFonts w:cs="Arial"/>
                <w:szCs w:val="20"/>
              </w:rPr>
            </w:pPr>
            <w:r w:rsidRPr="00DD681E">
              <w:rPr>
                <w:rFonts w:cs="Arial"/>
                <w:szCs w:val="20"/>
              </w:rPr>
              <w:t xml:space="preserve">alte servicii publice specializate la nivel judeţean sau local, </w:t>
            </w:r>
          </w:p>
          <w:p w14:paraId="3B0D7390" w14:textId="77777777" w:rsidR="00822F4B" w:rsidRPr="00DD681E" w:rsidRDefault="00822F4B" w:rsidP="002849B3">
            <w:pPr>
              <w:pStyle w:val="Normal1"/>
              <w:numPr>
                <w:ilvl w:val="0"/>
                <w:numId w:val="10"/>
              </w:numPr>
              <w:spacing w:before="0" w:after="0"/>
              <w:ind w:right="142"/>
              <w:rPr>
                <w:szCs w:val="20"/>
              </w:rPr>
            </w:pPr>
            <w:r w:rsidRPr="00DD681E">
              <w:rPr>
                <w:rFonts w:cs="Arial"/>
                <w:szCs w:val="20"/>
              </w:rPr>
              <w:t xml:space="preserve">instituţii publice care dezvoltă compartimente de asistenţă socială specializate, constituite şi care funcţionează în conformitate cu </w:t>
            </w:r>
            <w:r w:rsidRPr="00DD681E">
              <w:rPr>
                <w:szCs w:val="20"/>
              </w:rPr>
              <w:t>Ordonanţa Guvernului nr. 68/2003</w:t>
            </w:r>
            <w:r w:rsidRPr="000C0462">
              <w:rPr>
                <w:szCs w:val="20"/>
                <w:vertAlign w:val="superscript"/>
              </w:rPr>
              <w:footnoteReference w:id="8"/>
            </w:r>
            <w:r w:rsidRPr="00DD681E">
              <w:rPr>
                <w:szCs w:val="20"/>
              </w:rPr>
              <w:t xml:space="preserve"> privind serviciile sociale şi Hotărârea de Guvern nr. 1024/2004</w:t>
            </w:r>
            <w:r w:rsidRPr="000C0462">
              <w:rPr>
                <w:szCs w:val="20"/>
                <w:vertAlign w:val="superscript"/>
              </w:rPr>
              <w:footnoteReference w:id="9"/>
            </w:r>
            <w:r w:rsidRPr="00DD681E">
              <w:rPr>
                <w:szCs w:val="20"/>
              </w:rPr>
              <w:t xml:space="preserve"> pentru aprobarea Normelor metodologice de aplicare a prevederilor Ordonanţei Guvernului nr. 68/2003</w:t>
            </w:r>
            <w:r w:rsidRPr="000C0462">
              <w:rPr>
                <w:szCs w:val="20"/>
                <w:vertAlign w:val="superscript"/>
              </w:rPr>
              <w:footnoteReference w:id="10"/>
            </w:r>
            <w:r w:rsidRPr="00DD681E">
              <w:rPr>
                <w:szCs w:val="20"/>
              </w:rPr>
              <w:t xml:space="preserve"> privind serviciile sociale, precum şi a Metodologiei de acreditare a furnizorilor de servicii sociale, cu modificările şi completările ulterioare</w:t>
            </w:r>
          </w:p>
          <w:p w14:paraId="0E173FA5" w14:textId="77777777" w:rsidR="00822F4B" w:rsidRPr="00DD681E" w:rsidRDefault="00822F4B" w:rsidP="002849B3">
            <w:pPr>
              <w:pStyle w:val="Normal1"/>
              <w:numPr>
                <w:ilvl w:val="0"/>
                <w:numId w:val="10"/>
              </w:numPr>
              <w:spacing w:before="0" w:after="0"/>
              <w:ind w:right="142"/>
              <w:rPr>
                <w:rFonts w:cs="Arial"/>
                <w:szCs w:val="20"/>
              </w:rPr>
            </w:pPr>
            <w:r w:rsidRPr="00DD681E">
              <w:rPr>
                <w:szCs w:val="20"/>
              </w:rPr>
              <w:lastRenderedPageBreak/>
              <w:t>unităţi de asistenţă medico-socială, înfiinţate în conformitate cu prevederile HG nr. 412/2003 pentru aprobarea Normelor privind organizarea, funcţionarea şi finanţarea unităţilor de asistenţă medico-sociale şi acreditate ca furnizori de servicii sociale în conformitate cu prevederile art. 25 din Anexa nr. 2 Metodologia de acreditare a furnizorilor de servicii sociale la HG nr. 1024/2004 pentru aprobarea Normelor metodologice de aplicare a prevederilor Ordonanţei Guvernului nr. 68/2003 privind serviciile sociale, precum şi a Metodologiei de acreditare a furnizorilor de servicii sociale</w:t>
            </w:r>
          </w:p>
        </w:tc>
      </w:tr>
      <w:tr w:rsidR="002849B3" w:rsidRPr="00DD681E" w14:paraId="5D4540B9" w14:textId="77777777" w:rsidTr="00627FDE">
        <w:tc>
          <w:tcPr>
            <w:tcW w:w="2230" w:type="dxa"/>
            <w:tcBorders>
              <w:top w:val="single" w:sz="4" w:space="0" w:color="333333"/>
              <w:left w:val="nil"/>
              <w:bottom w:val="single" w:sz="4" w:space="0" w:color="333333"/>
              <w:right w:val="nil"/>
            </w:tcBorders>
            <w:tcMar>
              <w:top w:w="16" w:type="dxa"/>
              <w:left w:w="16" w:type="dxa"/>
              <w:bottom w:w="0" w:type="dxa"/>
              <w:right w:w="16" w:type="dxa"/>
            </w:tcMar>
          </w:tcPr>
          <w:p w14:paraId="4BEFF7B0" w14:textId="02C1EB42" w:rsidR="002849B3" w:rsidRPr="00DD681E" w:rsidRDefault="002849B3" w:rsidP="002849B3">
            <w:pPr>
              <w:pStyle w:val="CommentText"/>
              <w:spacing w:before="0" w:after="0"/>
              <w:ind w:left="181" w:right="221"/>
              <w:jc w:val="both"/>
              <w:rPr>
                <w:rFonts w:cs="Arial"/>
              </w:rPr>
            </w:pPr>
            <w:r w:rsidRPr="002849B3">
              <w:rPr>
                <w:rFonts w:cs="Arial"/>
              </w:rPr>
              <w:lastRenderedPageBreak/>
              <w:t>Lucrător defavorizat</w:t>
            </w:r>
          </w:p>
        </w:tc>
        <w:tc>
          <w:tcPr>
            <w:tcW w:w="6965" w:type="dxa"/>
            <w:tcBorders>
              <w:top w:val="single" w:sz="4" w:space="0" w:color="333333"/>
              <w:left w:val="nil"/>
              <w:bottom w:val="single" w:sz="4" w:space="0" w:color="333333"/>
              <w:right w:val="nil"/>
            </w:tcBorders>
            <w:tcMar>
              <w:top w:w="16" w:type="dxa"/>
              <w:left w:w="16" w:type="dxa"/>
              <w:bottom w:w="0" w:type="dxa"/>
              <w:right w:w="16" w:type="dxa"/>
            </w:tcMar>
          </w:tcPr>
          <w:p w14:paraId="5C0178CC" w14:textId="210C03CE" w:rsidR="002849B3" w:rsidRPr="002849B3" w:rsidRDefault="002849B3" w:rsidP="002849B3">
            <w:pPr>
              <w:pStyle w:val="CommentText"/>
              <w:spacing w:before="0" w:after="0"/>
              <w:ind w:left="181" w:right="221"/>
              <w:jc w:val="both"/>
              <w:rPr>
                <w:rFonts w:cs="Arial"/>
              </w:rPr>
            </w:pPr>
            <w:r w:rsidRPr="002849B3">
              <w:rPr>
                <w:rFonts w:cs="Arial"/>
              </w:rPr>
              <w:t>Orice persoană care:</w:t>
            </w:r>
          </w:p>
          <w:p w14:paraId="590D9FE3" w14:textId="77777777" w:rsidR="009734A1" w:rsidRPr="009734A1" w:rsidRDefault="009734A1" w:rsidP="009734A1">
            <w:pPr>
              <w:pStyle w:val="Normal1"/>
              <w:numPr>
                <w:ilvl w:val="0"/>
                <w:numId w:val="10"/>
              </w:numPr>
              <w:spacing w:before="0" w:after="0"/>
              <w:ind w:right="142"/>
              <w:rPr>
                <w:szCs w:val="20"/>
              </w:rPr>
            </w:pPr>
            <w:r w:rsidRPr="009734A1">
              <w:rPr>
                <w:szCs w:val="20"/>
              </w:rPr>
              <w:t>nu a avut un loc de muncă stabil remunerat în ultimele 6 luni; sau</w:t>
            </w:r>
          </w:p>
          <w:p w14:paraId="7ABBBC20" w14:textId="77777777" w:rsidR="009734A1" w:rsidRPr="009734A1" w:rsidRDefault="009734A1" w:rsidP="009734A1">
            <w:pPr>
              <w:pStyle w:val="Normal1"/>
              <w:numPr>
                <w:ilvl w:val="0"/>
                <w:numId w:val="10"/>
              </w:numPr>
              <w:spacing w:before="0" w:after="0"/>
              <w:ind w:right="142"/>
              <w:rPr>
                <w:szCs w:val="20"/>
              </w:rPr>
            </w:pPr>
            <w:r w:rsidRPr="009734A1">
              <w:rPr>
                <w:szCs w:val="20"/>
              </w:rPr>
              <w:t>are vârsta cuprinsă între 15 și 24 de ani; sau</w:t>
            </w:r>
          </w:p>
          <w:p w14:paraId="0F2D10B6" w14:textId="77777777" w:rsidR="009734A1" w:rsidRPr="009734A1" w:rsidRDefault="009734A1" w:rsidP="009734A1">
            <w:pPr>
              <w:pStyle w:val="Normal1"/>
              <w:numPr>
                <w:ilvl w:val="0"/>
                <w:numId w:val="10"/>
              </w:numPr>
              <w:spacing w:before="0" w:after="0"/>
              <w:ind w:right="142"/>
              <w:rPr>
                <w:szCs w:val="20"/>
              </w:rPr>
            </w:pPr>
            <w:r w:rsidRPr="009734A1">
              <w:rPr>
                <w:szCs w:val="20"/>
              </w:rPr>
              <w:t>nu a absolvit o formă de învățământ liceal sau nu deține o calificare profesională (sau se află în primii doi ani de la absolvirea unui ciclu de învățământ cu frecvență și nu a avut încă niciun loc de muncă stabil remunerat; sau</w:t>
            </w:r>
          </w:p>
          <w:p w14:paraId="4EE6DDF9" w14:textId="77777777" w:rsidR="009734A1" w:rsidRPr="009734A1" w:rsidRDefault="009734A1" w:rsidP="009734A1">
            <w:pPr>
              <w:pStyle w:val="Normal1"/>
              <w:numPr>
                <w:ilvl w:val="0"/>
                <w:numId w:val="10"/>
              </w:numPr>
              <w:spacing w:before="0" w:after="0"/>
              <w:ind w:right="142"/>
              <w:rPr>
                <w:szCs w:val="20"/>
              </w:rPr>
            </w:pPr>
            <w:r w:rsidRPr="009734A1">
              <w:rPr>
                <w:szCs w:val="20"/>
              </w:rPr>
              <w:t>are o vârstă de peste 50 de ani, nu are un loc de muncă sau este pe punctul de a-şi pierde locul de muncă;</w:t>
            </w:r>
          </w:p>
          <w:p w14:paraId="09DE7AB8" w14:textId="77777777" w:rsidR="009734A1" w:rsidRPr="009734A1" w:rsidRDefault="009734A1" w:rsidP="009734A1">
            <w:pPr>
              <w:pStyle w:val="Normal1"/>
              <w:numPr>
                <w:ilvl w:val="0"/>
                <w:numId w:val="10"/>
              </w:numPr>
              <w:spacing w:before="0" w:after="0"/>
              <w:ind w:right="142"/>
              <w:rPr>
                <w:szCs w:val="20"/>
              </w:rPr>
            </w:pPr>
            <w:r w:rsidRPr="009734A1">
              <w:rPr>
                <w:szCs w:val="20"/>
              </w:rPr>
              <w:t> nu a fost angajată pe o perioadă îndelungată, respectiv nu a avut un loc de muncă timp de 12 luni din ultimele 16 luni sau de 6 luni din ultimele 8 luni, în cazul persoanelor sub 25 de ani;</w:t>
            </w:r>
          </w:p>
          <w:p w14:paraId="37168F7B" w14:textId="77777777" w:rsidR="009734A1" w:rsidRPr="009734A1" w:rsidRDefault="009734A1" w:rsidP="009734A1">
            <w:pPr>
              <w:pStyle w:val="Normal1"/>
              <w:numPr>
                <w:ilvl w:val="0"/>
                <w:numId w:val="10"/>
              </w:numPr>
              <w:spacing w:before="0" w:after="0"/>
              <w:ind w:right="142"/>
              <w:rPr>
                <w:szCs w:val="20"/>
              </w:rPr>
            </w:pPr>
            <w:r w:rsidRPr="009734A1">
              <w:rPr>
                <w:szCs w:val="20"/>
              </w:rPr>
              <w:t>provine din familie monoparentală, având în întreținerea sa una sau mai multe persoane;</w:t>
            </w:r>
          </w:p>
          <w:p w14:paraId="778B22B8" w14:textId="77777777" w:rsidR="009734A1" w:rsidRPr="009734A1" w:rsidRDefault="009734A1" w:rsidP="009734A1">
            <w:pPr>
              <w:pStyle w:val="Normal1"/>
              <w:numPr>
                <w:ilvl w:val="0"/>
                <w:numId w:val="10"/>
              </w:numPr>
              <w:spacing w:before="0" w:after="0"/>
              <w:ind w:right="142"/>
              <w:rPr>
                <w:szCs w:val="20"/>
              </w:rPr>
            </w:pPr>
            <w:r w:rsidRPr="009734A1">
              <w:rPr>
                <w:szCs w:val="20"/>
              </w:rPr>
              <w:t>lucrează într-un sector sau profesie într-un stat membru în care dezechilibrul repartizării posturilor între bărbați și femei este cel puțin cu 25 % mai mare decât media națională a dezechilibrului repartizării posturilor între bărbați și femei în toate sectoarele economice în statul membru respectiv și aparține sexului subreprezentat; sau</w:t>
            </w:r>
          </w:p>
          <w:p w14:paraId="2FBFE029" w14:textId="77777777" w:rsidR="009734A1" w:rsidRPr="009734A1" w:rsidRDefault="009734A1" w:rsidP="009734A1">
            <w:pPr>
              <w:pStyle w:val="Normal1"/>
              <w:numPr>
                <w:ilvl w:val="0"/>
                <w:numId w:val="10"/>
              </w:numPr>
              <w:spacing w:before="0" w:after="0"/>
              <w:ind w:right="142"/>
              <w:rPr>
                <w:szCs w:val="20"/>
              </w:rPr>
            </w:pPr>
            <w:r w:rsidRPr="009734A1">
              <w:rPr>
                <w:szCs w:val="20"/>
              </w:rPr>
              <w:t>este membru al unei minorități etnice dintr-un stat membru și are nevoie să își dezvolte competențele lingvistice, formarea profesională sau experiența în muncă pentru a-și spori șansele de a obține un loc de muncă stabil;</w:t>
            </w:r>
          </w:p>
          <w:p w14:paraId="4FFDF8F9" w14:textId="0AA39383" w:rsidR="002849B3" w:rsidRPr="009734A1" w:rsidRDefault="009734A1" w:rsidP="009734A1">
            <w:pPr>
              <w:pStyle w:val="Normal1"/>
              <w:numPr>
                <w:ilvl w:val="0"/>
                <w:numId w:val="10"/>
              </w:numPr>
              <w:spacing w:before="0" w:after="0"/>
              <w:ind w:right="142"/>
              <w:rPr>
                <w:b/>
                <w:bCs/>
                <w:color w:val="C0504D"/>
                <w:szCs w:val="20"/>
              </w:rPr>
            </w:pPr>
            <w:r w:rsidRPr="009734A1">
              <w:rPr>
                <w:szCs w:val="20"/>
              </w:rPr>
              <w:t>este recunoscută ca lucrător cu handicap conform legislației naționale sau prezintă o incapacitate fizică, mentală, intelectuală sau senzorială de durată care, în interacțiune cu diferite bariere, poate împiedica participarea sa deplină și efectivă într-un mediu de lucru, în condiții de egalitate cu alți lucrători;</w:t>
            </w:r>
          </w:p>
        </w:tc>
      </w:tr>
      <w:tr w:rsidR="00822F4B" w:rsidRPr="00DD681E" w14:paraId="77FF2C32" w14:textId="77777777" w:rsidTr="00627FDE">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41E5FC30" w14:textId="77777777" w:rsidR="00822F4B" w:rsidRPr="00DD681E" w:rsidRDefault="00822F4B" w:rsidP="002849B3">
            <w:pPr>
              <w:pStyle w:val="Normal1"/>
              <w:spacing w:before="0" w:after="0"/>
              <w:ind w:left="181" w:right="221"/>
              <w:rPr>
                <w:rFonts w:cs="Arial"/>
                <w:szCs w:val="20"/>
              </w:rPr>
            </w:pPr>
            <w:r w:rsidRPr="00DD681E">
              <w:rPr>
                <w:rFonts w:cs="Arial"/>
                <w:szCs w:val="20"/>
              </w:rPr>
              <w:t>Nevoia socială</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2F0899C0" w14:textId="77777777" w:rsidR="00822F4B" w:rsidRPr="00DD681E" w:rsidRDefault="00822F4B" w:rsidP="002849B3">
            <w:pPr>
              <w:pStyle w:val="Normal1"/>
              <w:spacing w:before="0" w:after="0"/>
              <w:ind w:left="142" w:right="142"/>
              <w:rPr>
                <w:rFonts w:eastAsia="Arial Unicode MS" w:cs="Arial"/>
                <w:szCs w:val="20"/>
              </w:rPr>
            </w:pPr>
            <w:r w:rsidRPr="00DD681E">
              <w:rPr>
                <w:rFonts w:cs="Arial"/>
                <w:szCs w:val="20"/>
              </w:rPr>
              <w:t>Ansamblul de cerinţe indispensabile fiecărei persoane pentru asigurarea condiţiilor de viaţă, în vederea integrării sociale; (</w:t>
            </w:r>
            <w:r w:rsidRPr="00DD681E">
              <w:rPr>
                <w:rFonts w:cs="Helvetica"/>
                <w:color w:val="000000"/>
                <w:szCs w:val="20"/>
              </w:rPr>
              <w:t>Legea 292/2011 a asistenţei sociale</w:t>
            </w:r>
            <w:r w:rsidRPr="00DD681E">
              <w:rPr>
                <w:rFonts w:cs="Arial"/>
                <w:szCs w:val="20"/>
              </w:rPr>
              <w:t>)</w:t>
            </w:r>
          </w:p>
        </w:tc>
      </w:tr>
      <w:tr w:rsidR="00822F4B" w:rsidRPr="00DD681E" w14:paraId="0A56E396" w14:textId="77777777" w:rsidTr="00627FDE">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134F6504" w14:textId="77777777" w:rsidR="00822F4B" w:rsidRPr="00DD681E" w:rsidRDefault="00822F4B" w:rsidP="002849B3">
            <w:pPr>
              <w:pStyle w:val="Normal1"/>
              <w:spacing w:before="0" w:after="0"/>
              <w:ind w:left="181" w:right="221"/>
              <w:rPr>
                <w:rFonts w:cs="Arial"/>
                <w:szCs w:val="20"/>
              </w:rPr>
            </w:pPr>
            <w:r w:rsidRPr="00DD681E">
              <w:rPr>
                <w:rFonts w:cs="Arial"/>
                <w:szCs w:val="20"/>
              </w:rPr>
              <w:t>Prestaţiile sociale</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67E2FED3" w14:textId="77777777" w:rsidR="00822F4B" w:rsidRPr="00DD681E" w:rsidRDefault="00822F4B" w:rsidP="002849B3">
            <w:pPr>
              <w:autoSpaceDE w:val="0"/>
              <w:autoSpaceDN w:val="0"/>
              <w:adjustRightInd w:val="0"/>
              <w:spacing w:before="0" w:after="0"/>
              <w:ind w:left="142" w:right="142"/>
              <w:jc w:val="both"/>
              <w:rPr>
                <w:rFonts w:cs="Arial"/>
                <w:szCs w:val="20"/>
              </w:rPr>
            </w:pPr>
            <w:r w:rsidRPr="00DD681E">
              <w:rPr>
                <w:rFonts w:cs="Arial"/>
                <w:szCs w:val="20"/>
              </w:rPr>
              <w:t xml:space="preserve">Măsuri de redistribuţie financiară destinate persoanelor sau familiilor care întrunesc condiţiile de eligibilitate prevăzute de lege; (art. 5, lit. c ) din </w:t>
            </w:r>
            <w:r w:rsidRPr="00DD681E">
              <w:rPr>
                <w:rFonts w:cs="Helvetica"/>
                <w:color w:val="000000"/>
                <w:szCs w:val="20"/>
              </w:rPr>
              <w:t>Legea 292/2011 a asistenţei sociale</w:t>
            </w:r>
            <w:r w:rsidRPr="00DD681E">
              <w:rPr>
                <w:rFonts w:cs="Arial"/>
                <w:szCs w:val="20"/>
              </w:rPr>
              <w:t>, privind sistemul naţional de asistenţă socială)</w:t>
            </w:r>
          </w:p>
        </w:tc>
      </w:tr>
      <w:tr w:rsidR="00822F4B" w:rsidRPr="00DD681E" w14:paraId="191A786F" w14:textId="77777777" w:rsidTr="00627FDE">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4265996E" w14:textId="77777777" w:rsidR="00822F4B" w:rsidRPr="00DD681E" w:rsidRDefault="00822F4B" w:rsidP="002849B3">
            <w:pPr>
              <w:pStyle w:val="Normal1"/>
              <w:spacing w:before="0" w:after="0"/>
              <w:ind w:left="181" w:right="221"/>
              <w:rPr>
                <w:rFonts w:cs="Arial"/>
                <w:szCs w:val="20"/>
              </w:rPr>
            </w:pPr>
            <w:r w:rsidRPr="00DD681E">
              <w:rPr>
                <w:rFonts w:cs="Arial"/>
                <w:szCs w:val="20"/>
              </w:rPr>
              <w:t>Procesul de incluziune socială</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4EBBE3AE" w14:textId="77777777" w:rsidR="00822F4B" w:rsidRPr="00DD681E" w:rsidRDefault="00822F4B" w:rsidP="002849B3">
            <w:pPr>
              <w:autoSpaceDE w:val="0"/>
              <w:autoSpaceDN w:val="0"/>
              <w:adjustRightInd w:val="0"/>
              <w:spacing w:before="0" w:after="0"/>
              <w:ind w:left="142" w:right="142"/>
              <w:jc w:val="both"/>
              <w:rPr>
                <w:rFonts w:cs="Arial"/>
                <w:szCs w:val="20"/>
              </w:rPr>
            </w:pPr>
            <w:r w:rsidRPr="00DD681E">
              <w:rPr>
                <w:rFonts w:cs="Arial"/>
                <w:szCs w:val="20"/>
              </w:rPr>
              <w:t>Set de măsuri şi acţiuni multidimensionale din domeniile protecţiei sociale, ocupării forţei de muncă, locuirii, educaţiei, sănătăţii, informării-comunicării, mobilităţii, securităţii, justiţiei şi culturii, destinate combaterii excluziunii sociale; (</w:t>
            </w:r>
            <w:r w:rsidRPr="00DD681E">
              <w:rPr>
                <w:rFonts w:cs="Helvetica"/>
                <w:color w:val="000000"/>
                <w:szCs w:val="20"/>
              </w:rPr>
              <w:t>Legea 292/2011 a asistenţei sociale</w:t>
            </w:r>
            <w:r w:rsidRPr="00DD681E">
              <w:rPr>
                <w:rFonts w:cs="Arial"/>
                <w:szCs w:val="20"/>
              </w:rPr>
              <w:t>)</w:t>
            </w:r>
          </w:p>
        </w:tc>
      </w:tr>
      <w:tr w:rsidR="00822F4B" w:rsidRPr="00DD681E" w14:paraId="05A78F03" w14:textId="77777777" w:rsidTr="00627FDE">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278AF538" w14:textId="77777777" w:rsidR="00822F4B" w:rsidRPr="00DD681E" w:rsidRDefault="00822F4B" w:rsidP="002849B3">
            <w:pPr>
              <w:spacing w:before="0" w:after="0"/>
              <w:ind w:left="181" w:right="221"/>
              <w:jc w:val="both"/>
              <w:rPr>
                <w:rFonts w:cs="Arial"/>
                <w:szCs w:val="20"/>
              </w:rPr>
            </w:pPr>
            <w:r w:rsidRPr="00DD681E">
              <w:rPr>
                <w:rFonts w:cs="Arial"/>
                <w:szCs w:val="20"/>
              </w:rPr>
              <w:t>Servicii sociale</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18EE3658" w14:textId="77777777" w:rsidR="00822F4B" w:rsidRPr="00DD681E" w:rsidRDefault="00822F4B" w:rsidP="002849B3">
            <w:pPr>
              <w:pStyle w:val="CommentText"/>
              <w:spacing w:before="0" w:after="0"/>
              <w:ind w:left="142" w:right="142"/>
              <w:jc w:val="both"/>
              <w:rPr>
                <w:rFonts w:cs="Arial"/>
              </w:rPr>
            </w:pPr>
            <w:r w:rsidRPr="00DD681E">
              <w:rPr>
                <w:rFonts w:cs="Arial"/>
              </w:rPr>
              <w:t>Ansamblu complex de măsuri şi acţiuni realizate pentru a răspunde nevoilor sociale ale persoanelor, familiilor, grupurilor sau comunităţilor, în vederea prevenirii şi depăşirii unor situaţii de dificultate, vulnerabilitate ori dependenţă, pentru creşterea calităţii vieţii şi promovarea coeziunii sociale; serviciile sociale se pot organiza în forme diverse, stabilite prin nomenclatorul serviciilor sociale; (</w:t>
            </w:r>
            <w:r w:rsidRPr="00DD681E">
              <w:rPr>
                <w:rFonts w:cs="Helvetica"/>
                <w:color w:val="000000"/>
              </w:rPr>
              <w:t>Legea 292/2011 a asistenţei sociale</w:t>
            </w:r>
            <w:r w:rsidRPr="00DD681E">
              <w:rPr>
                <w:rFonts w:cs="Arial"/>
              </w:rPr>
              <w:t>)</w:t>
            </w:r>
          </w:p>
        </w:tc>
      </w:tr>
      <w:tr w:rsidR="00822F4B" w:rsidRPr="00DD681E" w14:paraId="2D7E8787" w14:textId="77777777" w:rsidTr="00627FDE">
        <w:tc>
          <w:tcPr>
            <w:tcW w:w="2230" w:type="dxa"/>
            <w:tcBorders>
              <w:top w:val="single" w:sz="4" w:space="0" w:color="333333"/>
              <w:left w:val="nil"/>
              <w:bottom w:val="single" w:sz="4" w:space="0" w:color="333333"/>
              <w:right w:val="nil"/>
            </w:tcBorders>
            <w:tcMar>
              <w:top w:w="16" w:type="dxa"/>
              <w:left w:w="16" w:type="dxa"/>
              <w:bottom w:w="0" w:type="dxa"/>
              <w:right w:w="16" w:type="dxa"/>
            </w:tcMar>
            <w:hideMark/>
          </w:tcPr>
          <w:p w14:paraId="08260CAF" w14:textId="77777777" w:rsidR="00822F4B" w:rsidRPr="00DD681E" w:rsidRDefault="00822F4B" w:rsidP="002849B3">
            <w:pPr>
              <w:pStyle w:val="Normal1"/>
              <w:spacing w:before="0" w:after="0"/>
              <w:ind w:left="181" w:right="221"/>
              <w:rPr>
                <w:rFonts w:cs="Arial"/>
                <w:szCs w:val="20"/>
              </w:rPr>
            </w:pPr>
            <w:r w:rsidRPr="00DD681E">
              <w:rPr>
                <w:rFonts w:cs="Arial"/>
                <w:szCs w:val="20"/>
              </w:rPr>
              <w:lastRenderedPageBreak/>
              <w:t>Sistemul naţional de asistenţă socială</w:t>
            </w:r>
          </w:p>
        </w:tc>
        <w:tc>
          <w:tcPr>
            <w:tcW w:w="6965" w:type="dxa"/>
            <w:tcBorders>
              <w:top w:val="single" w:sz="4" w:space="0" w:color="333333"/>
              <w:left w:val="nil"/>
              <w:bottom w:val="single" w:sz="4" w:space="0" w:color="333333"/>
              <w:right w:val="nil"/>
            </w:tcBorders>
            <w:tcMar>
              <w:top w:w="16" w:type="dxa"/>
              <w:left w:w="16" w:type="dxa"/>
              <w:bottom w:w="0" w:type="dxa"/>
              <w:right w:w="16" w:type="dxa"/>
            </w:tcMar>
            <w:hideMark/>
          </w:tcPr>
          <w:p w14:paraId="36C13798" w14:textId="77777777" w:rsidR="00822F4B" w:rsidRPr="00DD681E" w:rsidRDefault="00822F4B" w:rsidP="002849B3">
            <w:pPr>
              <w:pStyle w:val="Normal1"/>
              <w:autoSpaceDE w:val="0"/>
              <w:autoSpaceDN w:val="0"/>
              <w:adjustRightInd w:val="0"/>
              <w:spacing w:before="0" w:after="0"/>
              <w:ind w:left="142" w:right="142"/>
              <w:rPr>
                <w:rFonts w:cs="Arial"/>
                <w:szCs w:val="20"/>
              </w:rPr>
            </w:pPr>
            <w:r w:rsidRPr="00DD681E">
              <w:rPr>
                <w:rFonts w:cs="Arial"/>
                <w:szCs w:val="20"/>
              </w:rPr>
              <w:t>Ansamblu de instituţii şi măsuri prin care statul, prin autorităţile administraţiei publice centrale şi locale, colectivitatea locală şi societatea civilă intervin pentru prevenirea, limitarea sau înlăturarea efectelor temporare ori permanente ale unor situaţii care pot genera marginalizarea sau excluziunea socială a persoanei, familiei, grupurilor ori comunităţilor. (</w:t>
            </w:r>
            <w:r w:rsidRPr="00DD681E">
              <w:rPr>
                <w:rFonts w:cs="Helvetica"/>
                <w:color w:val="000000"/>
                <w:szCs w:val="20"/>
              </w:rPr>
              <w:t>Legea 292/2011 a asistenţei sociale</w:t>
            </w:r>
            <w:r w:rsidRPr="00DD681E">
              <w:rPr>
                <w:rFonts w:cs="Arial"/>
                <w:szCs w:val="20"/>
              </w:rPr>
              <w:t>)</w:t>
            </w:r>
          </w:p>
        </w:tc>
      </w:tr>
    </w:tbl>
    <w:p w14:paraId="6A22208E" w14:textId="77777777" w:rsidR="00822F4B" w:rsidRPr="00DD681E" w:rsidRDefault="00822F4B" w:rsidP="002849B3">
      <w:pPr>
        <w:spacing w:before="0" w:after="0"/>
        <w:jc w:val="both"/>
        <w:rPr>
          <w:szCs w:val="20"/>
        </w:rPr>
      </w:pPr>
    </w:p>
    <w:p w14:paraId="3A47D19C" w14:textId="77777777" w:rsidR="00D55230" w:rsidRPr="00DD681E" w:rsidRDefault="00D55230" w:rsidP="002849B3">
      <w:pPr>
        <w:spacing w:before="0" w:after="0"/>
        <w:jc w:val="both"/>
        <w:rPr>
          <w:b/>
          <w:bCs/>
          <w:szCs w:val="20"/>
        </w:rPr>
      </w:pPr>
      <w:r w:rsidRPr="00DD681E">
        <w:rPr>
          <w:b/>
          <w:bCs/>
          <w:szCs w:val="20"/>
        </w:rPr>
        <w:t>Patrimoniu</w:t>
      </w:r>
    </w:p>
    <w:p w14:paraId="70412855" w14:textId="77777777" w:rsidR="00D55230" w:rsidRPr="00DD681E" w:rsidRDefault="00D55230" w:rsidP="002849B3">
      <w:pPr>
        <w:spacing w:before="0" w:after="0"/>
        <w:jc w:val="both"/>
        <w:rPr>
          <w:b/>
          <w:bCs/>
          <w:szCs w:val="20"/>
        </w:rPr>
      </w:pPr>
    </w:p>
    <w:tbl>
      <w:tblPr>
        <w:tblW w:w="9195" w:type="dxa"/>
        <w:tblBorders>
          <w:top w:val="single" w:sz="4" w:space="0" w:color="333333"/>
          <w:bottom w:val="single" w:sz="4" w:space="0" w:color="333333"/>
          <w:insideH w:val="single" w:sz="4" w:space="0" w:color="333333"/>
        </w:tblBorders>
        <w:tblLayout w:type="fixed"/>
        <w:tblCellMar>
          <w:left w:w="0" w:type="dxa"/>
          <w:right w:w="0" w:type="dxa"/>
        </w:tblCellMar>
        <w:tblLook w:val="04A0" w:firstRow="1" w:lastRow="0" w:firstColumn="1" w:lastColumn="0" w:noHBand="0" w:noVBand="1"/>
      </w:tblPr>
      <w:tblGrid>
        <w:gridCol w:w="2230"/>
        <w:gridCol w:w="6965"/>
      </w:tblGrid>
      <w:tr w:rsidR="00D55230" w:rsidRPr="00DD681E" w14:paraId="4794AB42" w14:textId="77777777" w:rsidTr="007178DD">
        <w:tc>
          <w:tcPr>
            <w:tcW w:w="2231" w:type="dxa"/>
            <w:tcBorders>
              <w:top w:val="single" w:sz="4" w:space="0" w:color="333333"/>
              <w:left w:val="nil"/>
              <w:bottom w:val="single" w:sz="4" w:space="0" w:color="333333"/>
              <w:right w:val="nil"/>
            </w:tcBorders>
            <w:tcMar>
              <w:top w:w="16" w:type="dxa"/>
              <w:left w:w="16" w:type="dxa"/>
              <w:bottom w:w="0" w:type="dxa"/>
              <w:right w:w="16" w:type="dxa"/>
            </w:tcMar>
            <w:hideMark/>
          </w:tcPr>
          <w:p w14:paraId="0EB53CD8" w14:textId="77777777" w:rsidR="00D55230" w:rsidRPr="00DD681E" w:rsidRDefault="00D55230" w:rsidP="002849B3">
            <w:pPr>
              <w:spacing w:before="0" w:after="0"/>
              <w:ind w:left="215" w:right="142"/>
              <w:jc w:val="both"/>
              <w:rPr>
                <w:szCs w:val="20"/>
              </w:rPr>
            </w:pPr>
            <w:r w:rsidRPr="00DD681E">
              <w:rPr>
                <w:szCs w:val="20"/>
              </w:rPr>
              <w:t>Institutul Naţional al Monumentelor Istorice</w:t>
            </w:r>
          </w:p>
        </w:tc>
        <w:tc>
          <w:tcPr>
            <w:tcW w:w="6968" w:type="dxa"/>
            <w:tcBorders>
              <w:top w:val="single" w:sz="4" w:space="0" w:color="333333"/>
              <w:left w:val="nil"/>
              <w:bottom w:val="single" w:sz="4" w:space="0" w:color="333333"/>
              <w:right w:val="nil"/>
            </w:tcBorders>
            <w:tcMar>
              <w:top w:w="16" w:type="dxa"/>
              <w:left w:w="16" w:type="dxa"/>
              <w:bottom w:w="0" w:type="dxa"/>
              <w:right w:w="16" w:type="dxa"/>
            </w:tcMar>
            <w:hideMark/>
          </w:tcPr>
          <w:p w14:paraId="59EBD69A" w14:textId="63ED8DFE" w:rsidR="00D55230" w:rsidRPr="00DD681E" w:rsidRDefault="00D55230" w:rsidP="002849B3">
            <w:pPr>
              <w:spacing w:before="0" w:after="0"/>
              <w:ind w:left="142" w:right="142"/>
              <w:jc w:val="both"/>
              <w:rPr>
                <w:szCs w:val="20"/>
              </w:rPr>
            </w:pPr>
            <w:r w:rsidRPr="00DD681E">
              <w:rPr>
                <w:rStyle w:val="style11"/>
                <w:rFonts w:ascii="Trebuchet MS" w:hAnsi="Trebuchet MS"/>
                <w:sz w:val="20"/>
                <w:szCs w:val="20"/>
              </w:rPr>
              <w:t xml:space="preserve">Institutul Naţional al Monumentelor Istorice, denumit în continuare INMI, este înfiinţat în baza art. 29(1) din Legea nr. 422/2001 ca instituţie publică, cu personalitate juridică, în subordinea Ministerului Culturii şi Cultelor şi este finanţat de la bugetul de stat şi din venituri extrabugetare. </w:t>
            </w:r>
            <w:r w:rsidRPr="00DD681E">
              <w:rPr>
                <w:szCs w:val="20"/>
              </w:rPr>
              <w:br/>
            </w:r>
            <w:r w:rsidRPr="00DD681E">
              <w:rPr>
                <w:rStyle w:val="style11"/>
                <w:rFonts w:ascii="Trebuchet MS" w:hAnsi="Trebuchet MS"/>
                <w:sz w:val="20"/>
                <w:szCs w:val="20"/>
              </w:rPr>
              <w:t xml:space="preserve">Organizarea şi funcţionarea institutului este reglementată de Hotărârea </w:t>
            </w:r>
            <w:r w:rsidRPr="00E171EE">
              <w:rPr>
                <w:rStyle w:val="style11"/>
                <w:rFonts w:ascii="Trebuchet MS" w:hAnsi="Trebuchet MS"/>
                <w:sz w:val="20"/>
                <w:szCs w:val="20"/>
              </w:rPr>
              <w:t xml:space="preserve">Guvernului nr. </w:t>
            </w:r>
            <w:r w:rsidR="005D7DFE" w:rsidRPr="00E171EE">
              <w:rPr>
                <w:rStyle w:val="style11"/>
                <w:rFonts w:ascii="Trebuchet MS" w:hAnsi="Trebuchet MS"/>
                <w:sz w:val="20"/>
                <w:szCs w:val="20"/>
              </w:rPr>
              <w:t>1410/2009</w:t>
            </w:r>
            <w:r w:rsidRPr="00E171EE">
              <w:rPr>
                <w:rStyle w:val="style11"/>
                <w:rFonts w:ascii="Trebuchet MS" w:hAnsi="Trebuchet MS"/>
                <w:sz w:val="20"/>
                <w:szCs w:val="20"/>
              </w:rPr>
              <w:t>. INMI</w:t>
            </w:r>
            <w:r w:rsidRPr="00DD681E">
              <w:rPr>
                <w:rStyle w:val="style11"/>
                <w:rFonts w:ascii="Trebuchet MS" w:hAnsi="Trebuchet MS"/>
                <w:sz w:val="20"/>
                <w:szCs w:val="20"/>
              </w:rPr>
              <w:t xml:space="preserve"> este organizat ca instituţie subordonată Ministerului Culturii şi Cultelor şi are ca obiectiv principal asigurarea desfăşurării unor activităţi din domeniul strategiei naţionale în domeniul protejării  monumentelor istorice</w:t>
            </w:r>
            <w:r w:rsidRPr="00DD681E">
              <w:rPr>
                <w:rStyle w:val="style11"/>
                <w:rFonts w:ascii="Trebuchet MS" w:hAnsi="Trebuchet MS" w:cs="Arial"/>
                <w:sz w:val="20"/>
                <w:szCs w:val="20"/>
              </w:rPr>
              <w:t xml:space="preserve">.  </w:t>
            </w:r>
          </w:p>
        </w:tc>
      </w:tr>
      <w:tr w:rsidR="00D55230" w:rsidRPr="00DD681E" w14:paraId="4DDE6D1B" w14:textId="77777777" w:rsidTr="007178DD">
        <w:tc>
          <w:tcPr>
            <w:tcW w:w="2231" w:type="dxa"/>
            <w:tcBorders>
              <w:top w:val="single" w:sz="4" w:space="0" w:color="333333"/>
              <w:left w:val="nil"/>
              <w:bottom w:val="single" w:sz="4" w:space="0" w:color="333333"/>
              <w:right w:val="nil"/>
            </w:tcBorders>
            <w:tcMar>
              <w:top w:w="16" w:type="dxa"/>
              <w:left w:w="16" w:type="dxa"/>
              <w:bottom w:w="0" w:type="dxa"/>
              <w:right w:w="16" w:type="dxa"/>
            </w:tcMar>
            <w:hideMark/>
          </w:tcPr>
          <w:p w14:paraId="2D7AF099" w14:textId="77777777" w:rsidR="00D55230" w:rsidRPr="00DD681E" w:rsidRDefault="00D55230" w:rsidP="002849B3">
            <w:pPr>
              <w:spacing w:before="0" w:after="0"/>
              <w:ind w:left="181" w:right="221"/>
              <w:jc w:val="both"/>
              <w:rPr>
                <w:szCs w:val="20"/>
              </w:rPr>
            </w:pPr>
            <w:r w:rsidRPr="00DD681E">
              <w:rPr>
                <w:szCs w:val="20"/>
              </w:rPr>
              <w:t>Monument</w:t>
            </w:r>
          </w:p>
        </w:tc>
        <w:tc>
          <w:tcPr>
            <w:tcW w:w="6968" w:type="dxa"/>
            <w:tcBorders>
              <w:top w:val="single" w:sz="4" w:space="0" w:color="333333"/>
              <w:left w:val="nil"/>
              <w:bottom w:val="single" w:sz="4" w:space="0" w:color="333333"/>
              <w:right w:val="nil"/>
            </w:tcBorders>
            <w:tcMar>
              <w:top w:w="16" w:type="dxa"/>
              <w:left w:w="16" w:type="dxa"/>
              <w:bottom w:w="0" w:type="dxa"/>
              <w:right w:w="16" w:type="dxa"/>
            </w:tcMar>
            <w:hideMark/>
          </w:tcPr>
          <w:p w14:paraId="606CED74" w14:textId="77777777" w:rsidR="00D55230" w:rsidRPr="00DD681E" w:rsidRDefault="00D55230" w:rsidP="002849B3">
            <w:pPr>
              <w:spacing w:before="0" w:after="0"/>
              <w:ind w:left="181" w:right="221"/>
              <w:jc w:val="both"/>
              <w:rPr>
                <w:szCs w:val="20"/>
              </w:rPr>
            </w:pPr>
            <w:r w:rsidRPr="00DD681E">
              <w:rPr>
                <w:szCs w:val="20"/>
              </w:rPr>
              <w:t>Construcţie sau parte de construcţie, împreună cu instalaţiile, componentele artistice, elementele de mobilare interioară sau exterioară care fac parte integrantă din acestea, precum şi lucrări artistice comemorative, funerare, de for public, împreună cu terenul aferent delimitat topografic, care constituie mărturii cultural-istorice semnificative din punct de vedere arhitectural, arheologic, artistic, etnografic, religios, social, ştiinţific sau tehnic (Art.3 din Legea nr. 422/2001 republicată</w:t>
            </w:r>
            <w:r w:rsidRPr="00DD681E">
              <w:rPr>
                <w:szCs w:val="20"/>
                <w:vertAlign w:val="superscript"/>
              </w:rPr>
              <w:footnoteReference w:id="11"/>
            </w:r>
            <w:r w:rsidRPr="00DD681E">
              <w:rPr>
                <w:szCs w:val="20"/>
              </w:rPr>
              <w:t xml:space="preserve"> privind protejarea monumentelor istorice)</w:t>
            </w:r>
          </w:p>
        </w:tc>
      </w:tr>
      <w:tr w:rsidR="00D55230" w:rsidRPr="00DD681E" w14:paraId="02C6DDCC" w14:textId="77777777" w:rsidTr="007178DD">
        <w:tc>
          <w:tcPr>
            <w:tcW w:w="2231" w:type="dxa"/>
            <w:tcBorders>
              <w:top w:val="single" w:sz="4" w:space="0" w:color="333333"/>
              <w:left w:val="nil"/>
              <w:bottom w:val="single" w:sz="4" w:space="0" w:color="333333"/>
              <w:right w:val="nil"/>
            </w:tcBorders>
            <w:tcMar>
              <w:top w:w="16" w:type="dxa"/>
              <w:left w:w="16" w:type="dxa"/>
              <w:bottom w:w="0" w:type="dxa"/>
              <w:right w:w="16" w:type="dxa"/>
            </w:tcMar>
            <w:hideMark/>
          </w:tcPr>
          <w:p w14:paraId="690C8936" w14:textId="77777777" w:rsidR="00D55230" w:rsidRPr="00DD681E" w:rsidRDefault="00D55230" w:rsidP="002849B3">
            <w:pPr>
              <w:spacing w:before="0" w:after="0"/>
              <w:ind w:left="181" w:right="221"/>
              <w:jc w:val="both"/>
              <w:rPr>
                <w:szCs w:val="20"/>
              </w:rPr>
            </w:pPr>
            <w:r w:rsidRPr="00DD681E">
              <w:rPr>
                <w:szCs w:val="20"/>
              </w:rPr>
              <w:t>Monument istoric</w:t>
            </w:r>
          </w:p>
        </w:tc>
        <w:tc>
          <w:tcPr>
            <w:tcW w:w="6968" w:type="dxa"/>
            <w:tcBorders>
              <w:top w:val="single" w:sz="4" w:space="0" w:color="333333"/>
              <w:left w:val="nil"/>
              <w:bottom w:val="single" w:sz="4" w:space="0" w:color="333333"/>
              <w:right w:val="nil"/>
            </w:tcBorders>
            <w:tcMar>
              <w:top w:w="16" w:type="dxa"/>
              <w:left w:w="16" w:type="dxa"/>
              <w:bottom w:w="0" w:type="dxa"/>
              <w:right w:w="16" w:type="dxa"/>
            </w:tcMar>
            <w:hideMark/>
          </w:tcPr>
          <w:p w14:paraId="20F8C5BE" w14:textId="77777777" w:rsidR="00D55230" w:rsidRPr="00DD681E" w:rsidRDefault="00D55230" w:rsidP="002849B3">
            <w:pPr>
              <w:spacing w:before="0" w:after="0"/>
              <w:ind w:left="181" w:right="221"/>
              <w:jc w:val="both"/>
              <w:rPr>
                <w:szCs w:val="20"/>
              </w:rPr>
            </w:pPr>
            <w:r w:rsidRPr="00DD681E">
              <w:rPr>
                <w:szCs w:val="20"/>
              </w:rPr>
              <w:t>Bunuri imobile, construcţii şi terenuri situate pe teritoriul româniei, semnificative pentru istoria, cultura şi civilizaţia naţională şi universală (Art.1 ali. (2) din Legea nr. 422/2001 republicată privind protejarea monumentelor istorice)</w:t>
            </w:r>
          </w:p>
        </w:tc>
      </w:tr>
      <w:tr w:rsidR="00D55230" w:rsidRPr="00DD681E" w14:paraId="66160D7E" w14:textId="77777777" w:rsidTr="007178DD">
        <w:tc>
          <w:tcPr>
            <w:tcW w:w="2231" w:type="dxa"/>
            <w:tcBorders>
              <w:top w:val="single" w:sz="4" w:space="0" w:color="333333"/>
              <w:left w:val="nil"/>
              <w:bottom w:val="single" w:sz="4" w:space="0" w:color="333333"/>
              <w:right w:val="nil"/>
            </w:tcBorders>
            <w:tcMar>
              <w:top w:w="16" w:type="dxa"/>
              <w:left w:w="16" w:type="dxa"/>
              <w:bottom w:w="0" w:type="dxa"/>
              <w:right w:w="16" w:type="dxa"/>
            </w:tcMar>
            <w:hideMark/>
          </w:tcPr>
          <w:p w14:paraId="2237916F" w14:textId="77777777" w:rsidR="00D55230" w:rsidRPr="00DD681E" w:rsidRDefault="00D55230" w:rsidP="002849B3">
            <w:pPr>
              <w:spacing w:before="0" w:after="0"/>
              <w:ind w:left="181" w:right="221"/>
              <w:jc w:val="both"/>
              <w:rPr>
                <w:szCs w:val="20"/>
              </w:rPr>
            </w:pPr>
            <w:r w:rsidRPr="00DD681E">
              <w:rPr>
                <w:szCs w:val="20"/>
              </w:rPr>
              <w:t>Protecţia clădirilor de patrimoniu/ patrimoniului cultural</w:t>
            </w:r>
          </w:p>
        </w:tc>
        <w:tc>
          <w:tcPr>
            <w:tcW w:w="6968" w:type="dxa"/>
            <w:tcBorders>
              <w:top w:val="single" w:sz="4" w:space="0" w:color="333333"/>
              <w:left w:val="nil"/>
              <w:bottom w:val="single" w:sz="4" w:space="0" w:color="333333"/>
              <w:right w:val="nil"/>
            </w:tcBorders>
            <w:tcMar>
              <w:top w:w="16" w:type="dxa"/>
              <w:left w:w="16" w:type="dxa"/>
              <w:bottom w:w="0" w:type="dxa"/>
              <w:right w:w="16" w:type="dxa"/>
            </w:tcMar>
            <w:hideMark/>
          </w:tcPr>
          <w:p w14:paraId="48D31D40" w14:textId="77777777" w:rsidR="00D55230" w:rsidRPr="00DD681E" w:rsidRDefault="00D55230" w:rsidP="002849B3">
            <w:pPr>
              <w:spacing w:before="0" w:after="0"/>
              <w:ind w:left="181" w:right="221"/>
              <w:jc w:val="both"/>
              <w:rPr>
                <w:szCs w:val="20"/>
              </w:rPr>
            </w:pPr>
            <w:r w:rsidRPr="00DD681E">
              <w:rPr>
                <w:szCs w:val="20"/>
              </w:rPr>
              <w:t>Activităţi care au ca scop paza şi întreţinerea clădirilor de patrimoniu/ patrimoniului cultural.</w:t>
            </w:r>
          </w:p>
        </w:tc>
      </w:tr>
    </w:tbl>
    <w:p w14:paraId="77109487" w14:textId="77777777" w:rsidR="00D55230" w:rsidRPr="00DD681E" w:rsidRDefault="00D55230" w:rsidP="002849B3">
      <w:pPr>
        <w:spacing w:before="0" w:after="0"/>
        <w:jc w:val="both"/>
        <w:rPr>
          <w:szCs w:val="20"/>
        </w:rPr>
      </w:pPr>
    </w:p>
    <w:p w14:paraId="521F059D" w14:textId="77777777" w:rsidR="00EC3D5B" w:rsidRPr="00DD681E" w:rsidRDefault="003D3B5A" w:rsidP="002849B3">
      <w:pPr>
        <w:spacing w:before="0" w:after="0"/>
        <w:jc w:val="both"/>
        <w:rPr>
          <w:b/>
          <w:bCs/>
          <w:szCs w:val="20"/>
        </w:rPr>
      </w:pPr>
      <w:r w:rsidRPr="00DD681E">
        <w:rPr>
          <w:b/>
          <w:bCs/>
          <w:szCs w:val="20"/>
        </w:rPr>
        <w:t>Turism</w:t>
      </w:r>
    </w:p>
    <w:tbl>
      <w:tblPr>
        <w:tblW w:w="9195" w:type="dxa"/>
        <w:tblLayout w:type="fixed"/>
        <w:tblCellMar>
          <w:left w:w="0" w:type="dxa"/>
          <w:right w:w="0" w:type="dxa"/>
        </w:tblCellMar>
        <w:tblLook w:val="04A0" w:firstRow="1" w:lastRow="0" w:firstColumn="1" w:lastColumn="0" w:noHBand="0" w:noVBand="1"/>
      </w:tblPr>
      <w:tblGrid>
        <w:gridCol w:w="2230"/>
        <w:gridCol w:w="6965"/>
      </w:tblGrid>
      <w:tr w:rsidR="003A3A1D" w:rsidRPr="00DD681E" w14:paraId="4D40493D" w14:textId="77777777" w:rsidTr="003D3B5A">
        <w:tc>
          <w:tcPr>
            <w:tcW w:w="2230" w:type="dxa"/>
            <w:tcBorders>
              <w:top w:val="nil"/>
              <w:left w:val="nil"/>
              <w:bottom w:val="single" w:sz="8" w:space="0" w:color="333333"/>
              <w:right w:val="nil"/>
            </w:tcBorders>
            <w:tcMar>
              <w:top w:w="16" w:type="dxa"/>
              <w:left w:w="16" w:type="dxa"/>
              <w:bottom w:w="0" w:type="dxa"/>
              <w:right w:w="16" w:type="dxa"/>
            </w:tcMar>
          </w:tcPr>
          <w:p w14:paraId="471C8C92" w14:textId="77777777" w:rsidR="003A3A1D" w:rsidRDefault="003A3A1D" w:rsidP="002849B3">
            <w:pPr>
              <w:spacing w:before="0" w:after="0"/>
              <w:jc w:val="both"/>
              <w:rPr>
                <w:rFonts w:eastAsiaTheme="minorHAnsi"/>
                <w:sz w:val="22"/>
                <w:szCs w:val="22"/>
              </w:rPr>
            </w:pPr>
            <w:r>
              <w:rPr>
                <w:color w:val="000000"/>
              </w:rPr>
              <w:t xml:space="preserve">Patrimoniu natural </w:t>
            </w:r>
          </w:p>
          <w:p w14:paraId="2D499D40" w14:textId="77777777" w:rsidR="003A3A1D" w:rsidRDefault="003A3A1D" w:rsidP="002849B3">
            <w:pPr>
              <w:spacing w:before="0" w:after="0"/>
              <w:ind w:left="170" w:right="170"/>
              <w:jc w:val="both"/>
              <w:rPr>
                <w:rFonts w:eastAsiaTheme="minorHAnsi"/>
                <w:sz w:val="22"/>
                <w:szCs w:val="22"/>
              </w:rPr>
            </w:pPr>
          </w:p>
        </w:tc>
        <w:tc>
          <w:tcPr>
            <w:tcW w:w="6965" w:type="dxa"/>
            <w:tcBorders>
              <w:top w:val="nil"/>
              <w:left w:val="nil"/>
              <w:bottom w:val="single" w:sz="8" w:space="0" w:color="333333"/>
              <w:right w:val="nil"/>
            </w:tcBorders>
            <w:tcMar>
              <w:top w:w="16" w:type="dxa"/>
              <w:left w:w="16" w:type="dxa"/>
              <w:bottom w:w="0" w:type="dxa"/>
              <w:right w:w="16" w:type="dxa"/>
            </w:tcMar>
            <w:hideMark/>
          </w:tcPr>
          <w:p w14:paraId="7C225C6A" w14:textId="77777777" w:rsidR="003A3A1D" w:rsidRDefault="003A3A1D" w:rsidP="002849B3">
            <w:pPr>
              <w:spacing w:before="0" w:after="0"/>
              <w:ind w:left="170" w:right="170"/>
              <w:jc w:val="both"/>
              <w:rPr>
                <w:rFonts w:eastAsiaTheme="minorHAnsi"/>
                <w:sz w:val="22"/>
                <w:szCs w:val="22"/>
              </w:rPr>
            </w:pPr>
            <w:r>
              <w:t>ansamblul componentelor şi structurilor fizico-geografice, floristice, faunistice şi biocenotice ale mediului natural, ale căror importanţă şi valoare ecologică, economică, ştiinţifică, biogenă, sanogenă, peisagistică şi recreativă au o semnificaţie relevantă sub aspectul conservării diversităţii biologice floristice şi faunistice, al integrităţii funcţionale a ecosistemelor, conservării patrimoniului genetic, vegetal şi animal, precum şi pentru satisfacerea cerinţelor de viaţă, bunăstare, cultură şi civilizaţie ale generaţiilor prezente şi viitoare, conform OUG 57/2007, cu modificările şi completările ulterioare;</w:t>
            </w:r>
          </w:p>
        </w:tc>
      </w:tr>
      <w:tr w:rsidR="003A3A1D" w14:paraId="69B8EA22" w14:textId="77777777" w:rsidTr="003A3A1D">
        <w:tc>
          <w:tcPr>
            <w:tcW w:w="2230" w:type="dxa"/>
            <w:tcBorders>
              <w:top w:val="nil"/>
              <w:left w:val="nil"/>
              <w:bottom w:val="nil"/>
              <w:right w:val="nil"/>
            </w:tcBorders>
            <w:tcMar>
              <w:top w:w="16" w:type="dxa"/>
              <w:left w:w="16" w:type="dxa"/>
              <w:bottom w:w="0" w:type="dxa"/>
              <w:right w:w="16" w:type="dxa"/>
            </w:tcMar>
            <w:hideMark/>
          </w:tcPr>
          <w:p w14:paraId="36469761" w14:textId="77777777" w:rsidR="003A3A1D" w:rsidRDefault="003A3A1D" w:rsidP="002849B3">
            <w:pPr>
              <w:spacing w:before="0" w:after="0"/>
              <w:jc w:val="both"/>
              <w:rPr>
                <w:rFonts w:eastAsiaTheme="minorHAnsi"/>
                <w:sz w:val="22"/>
                <w:szCs w:val="22"/>
              </w:rPr>
            </w:pPr>
            <w:r>
              <w:rPr>
                <w:color w:val="000000"/>
              </w:rPr>
              <w:t>Arie naturală protejată</w:t>
            </w:r>
          </w:p>
        </w:tc>
        <w:tc>
          <w:tcPr>
            <w:tcW w:w="6965" w:type="dxa"/>
            <w:tcBorders>
              <w:top w:val="nil"/>
              <w:left w:val="nil"/>
              <w:bottom w:val="nil"/>
              <w:right w:val="nil"/>
            </w:tcBorders>
            <w:tcMar>
              <w:top w:w="16" w:type="dxa"/>
              <w:left w:w="16" w:type="dxa"/>
              <w:bottom w:w="0" w:type="dxa"/>
              <w:right w:w="16" w:type="dxa"/>
            </w:tcMar>
            <w:hideMark/>
          </w:tcPr>
          <w:p w14:paraId="4D2A457F" w14:textId="77777777" w:rsidR="003A3A1D" w:rsidRDefault="003A3A1D" w:rsidP="002849B3">
            <w:pPr>
              <w:spacing w:before="0" w:after="0"/>
              <w:ind w:left="170" w:right="170"/>
              <w:jc w:val="both"/>
              <w:rPr>
                <w:rFonts w:eastAsiaTheme="minorHAnsi"/>
                <w:sz w:val="22"/>
                <w:szCs w:val="22"/>
              </w:rPr>
            </w:pPr>
            <w:r>
              <w:t>zona terestră şi/sau acvatică în care există specii de plante şi animale sălbatice, elemente şi formaţiuni biogeografice, peisagistice, geologice, paleontologice, speologice sau de altă natură, cu valoare ecologică, ştiinţifică ori culturală deosebită, care are un regim special de protecţie şi conservare, stabilit conform prevederilor legale;</w:t>
            </w:r>
          </w:p>
        </w:tc>
      </w:tr>
      <w:tr w:rsidR="003A3A1D" w14:paraId="5B7E52A1" w14:textId="77777777" w:rsidTr="003A3A1D">
        <w:tc>
          <w:tcPr>
            <w:tcW w:w="2230" w:type="dxa"/>
            <w:tcBorders>
              <w:top w:val="nil"/>
              <w:left w:val="nil"/>
              <w:bottom w:val="nil"/>
              <w:right w:val="nil"/>
            </w:tcBorders>
            <w:tcMar>
              <w:top w:w="16" w:type="dxa"/>
              <w:left w:w="16" w:type="dxa"/>
              <w:bottom w:w="0" w:type="dxa"/>
              <w:right w:w="16" w:type="dxa"/>
            </w:tcMar>
          </w:tcPr>
          <w:p w14:paraId="75FB01C0" w14:textId="1CBDBAEE" w:rsidR="003A3A1D" w:rsidRDefault="003A3A1D" w:rsidP="002849B3">
            <w:pPr>
              <w:spacing w:before="0" w:after="0"/>
              <w:jc w:val="both"/>
              <w:rPr>
                <w:rFonts w:eastAsiaTheme="minorHAnsi"/>
                <w:color w:val="000000"/>
                <w:sz w:val="22"/>
                <w:szCs w:val="22"/>
              </w:rPr>
            </w:pPr>
          </w:p>
        </w:tc>
        <w:tc>
          <w:tcPr>
            <w:tcW w:w="6965" w:type="dxa"/>
            <w:tcBorders>
              <w:top w:val="nil"/>
              <w:left w:val="nil"/>
              <w:bottom w:val="nil"/>
              <w:right w:val="nil"/>
            </w:tcBorders>
            <w:tcMar>
              <w:top w:w="16" w:type="dxa"/>
              <w:left w:w="16" w:type="dxa"/>
              <w:bottom w:w="0" w:type="dxa"/>
              <w:right w:w="16" w:type="dxa"/>
            </w:tcMar>
          </w:tcPr>
          <w:p w14:paraId="397F1611" w14:textId="13A5B2AE" w:rsidR="003A3A1D" w:rsidRDefault="003A3A1D" w:rsidP="002849B3">
            <w:pPr>
              <w:spacing w:before="0" w:after="0"/>
              <w:ind w:left="170" w:right="170"/>
              <w:jc w:val="both"/>
              <w:rPr>
                <w:rFonts w:eastAsiaTheme="minorHAnsi"/>
                <w:sz w:val="22"/>
                <w:szCs w:val="22"/>
              </w:rPr>
            </w:pPr>
          </w:p>
        </w:tc>
      </w:tr>
      <w:tr w:rsidR="003A3A1D" w14:paraId="7FEBA0A2" w14:textId="77777777" w:rsidTr="003A3A1D">
        <w:tc>
          <w:tcPr>
            <w:tcW w:w="2230" w:type="dxa"/>
            <w:tcBorders>
              <w:top w:val="nil"/>
              <w:left w:val="nil"/>
              <w:bottom w:val="nil"/>
              <w:right w:val="nil"/>
            </w:tcBorders>
            <w:tcMar>
              <w:top w:w="16" w:type="dxa"/>
              <w:left w:w="16" w:type="dxa"/>
              <w:bottom w:w="0" w:type="dxa"/>
              <w:right w:w="16" w:type="dxa"/>
            </w:tcMar>
          </w:tcPr>
          <w:p w14:paraId="1834DD22" w14:textId="56C47E8C" w:rsidR="003A3A1D" w:rsidRDefault="003A3A1D" w:rsidP="002849B3">
            <w:pPr>
              <w:spacing w:before="0" w:after="0"/>
              <w:jc w:val="both"/>
              <w:rPr>
                <w:rFonts w:eastAsiaTheme="minorHAnsi"/>
                <w:color w:val="000000"/>
                <w:sz w:val="22"/>
                <w:szCs w:val="22"/>
              </w:rPr>
            </w:pPr>
          </w:p>
        </w:tc>
        <w:tc>
          <w:tcPr>
            <w:tcW w:w="6965" w:type="dxa"/>
            <w:tcBorders>
              <w:top w:val="nil"/>
              <w:left w:val="nil"/>
              <w:bottom w:val="nil"/>
              <w:right w:val="nil"/>
            </w:tcBorders>
            <w:tcMar>
              <w:top w:w="16" w:type="dxa"/>
              <w:left w:w="16" w:type="dxa"/>
              <w:bottom w:w="0" w:type="dxa"/>
              <w:right w:w="16" w:type="dxa"/>
            </w:tcMar>
          </w:tcPr>
          <w:p w14:paraId="3F141162" w14:textId="31757CD6" w:rsidR="003A3A1D" w:rsidRDefault="003A3A1D" w:rsidP="002849B3">
            <w:pPr>
              <w:spacing w:before="0" w:after="0"/>
              <w:ind w:left="170" w:right="170"/>
              <w:jc w:val="both"/>
              <w:rPr>
                <w:rFonts w:eastAsiaTheme="minorHAnsi"/>
                <w:sz w:val="22"/>
                <w:szCs w:val="22"/>
              </w:rPr>
            </w:pPr>
          </w:p>
        </w:tc>
      </w:tr>
      <w:tr w:rsidR="003A3A1D" w14:paraId="67B6C8AC" w14:textId="77777777" w:rsidTr="003D3B5A">
        <w:tc>
          <w:tcPr>
            <w:tcW w:w="2230" w:type="dxa"/>
            <w:tcBorders>
              <w:top w:val="nil"/>
              <w:left w:val="nil"/>
              <w:bottom w:val="single" w:sz="8" w:space="0" w:color="333333"/>
              <w:right w:val="nil"/>
            </w:tcBorders>
            <w:tcMar>
              <w:top w:w="16" w:type="dxa"/>
              <w:left w:w="16" w:type="dxa"/>
              <w:bottom w:w="0" w:type="dxa"/>
              <w:right w:w="16" w:type="dxa"/>
            </w:tcMar>
          </w:tcPr>
          <w:p w14:paraId="0D7E645C" w14:textId="77777777" w:rsidR="003A3A1D" w:rsidRDefault="003A3A1D" w:rsidP="002849B3">
            <w:pPr>
              <w:spacing w:before="0" w:after="0"/>
              <w:jc w:val="both"/>
              <w:rPr>
                <w:rFonts w:eastAsiaTheme="minorHAnsi"/>
                <w:color w:val="000000"/>
                <w:sz w:val="22"/>
                <w:szCs w:val="22"/>
              </w:rPr>
            </w:pPr>
            <w:r>
              <w:rPr>
                <w:color w:val="000000"/>
              </w:rPr>
              <w:t xml:space="preserve">Obiective turistice </w:t>
            </w:r>
            <w:r>
              <w:rPr>
                <w:color w:val="000000"/>
              </w:rPr>
              <w:lastRenderedPageBreak/>
              <w:t>naturale</w:t>
            </w:r>
          </w:p>
        </w:tc>
        <w:tc>
          <w:tcPr>
            <w:tcW w:w="6965" w:type="dxa"/>
            <w:tcBorders>
              <w:top w:val="nil"/>
              <w:left w:val="nil"/>
              <w:bottom w:val="single" w:sz="8" w:space="0" w:color="333333"/>
              <w:right w:val="nil"/>
            </w:tcBorders>
            <w:tcMar>
              <w:top w:w="16" w:type="dxa"/>
              <w:left w:w="16" w:type="dxa"/>
              <w:bottom w:w="0" w:type="dxa"/>
              <w:right w:w="16" w:type="dxa"/>
            </w:tcMar>
          </w:tcPr>
          <w:p w14:paraId="44DCDA7D" w14:textId="77777777" w:rsidR="003A3A1D" w:rsidRDefault="003A3A1D" w:rsidP="002849B3">
            <w:pPr>
              <w:spacing w:before="0" w:after="0"/>
              <w:ind w:left="180" w:firstLine="38"/>
              <w:jc w:val="both"/>
              <w:rPr>
                <w:rFonts w:eastAsiaTheme="minorHAnsi"/>
                <w:color w:val="000000"/>
                <w:sz w:val="22"/>
                <w:szCs w:val="22"/>
              </w:rPr>
            </w:pPr>
            <w:r>
              <w:rPr>
                <w:color w:val="000000"/>
              </w:rPr>
              <w:lastRenderedPageBreak/>
              <w:t xml:space="preserve">resursele sau atracţiile turistice care alcătuiesc materia primă pentru </w:t>
            </w:r>
            <w:r>
              <w:rPr>
                <w:color w:val="000000"/>
              </w:rPr>
              <w:lastRenderedPageBreak/>
              <w:t>activităţile turistice. Ele alcatuiesc potenţialul turistic natural al  unui teritoriu delimitat teritoriului geografic (judeţ, staţiune) si se refera la totalitatea resurselor turistice pe care le oferă cadrul natural prin componentele sale fizico-geografice (relief, climă, hidrografie, faună, floră).</w:t>
            </w:r>
          </w:p>
        </w:tc>
      </w:tr>
    </w:tbl>
    <w:p w14:paraId="6A3D5176" w14:textId="77777777" w:rsidR="003D3B5A" w:rsidRPr="00433A86" w:rsidRDefault="003D3B5A" w:rsidP="002849B3">
      <w:pPr>
        <w:spacing w:before="0" w:after="0"/>
        <w:jc w:val="both"/>
        <w:rPr>
          <w:b/>
          <w:bCs/>
          <w:szCs w:val="20"/>
        </w:rPr>
      </w:pPr>
    </w:p>
    <w:sectPr w:rsidR="003D3B5A" w:rsidRPr="00433A8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AC03B" w14:textId="77777777" w:rsidR="006D18DC" w:rsidRDefault="006D18DC" w:rsidP="007151A6">
      <w:pPr>
        <w:spacing w:before="0" w:after="0"/>
      </w:pPr>
      <w:r>
        <w:separator/>
      </w:r>
    </w:p>
  </w:endnote>
  <w:endnote w:type="continuationSeparator" w:id="0">
    <w:p w14:paraId="13F39001" w14:textId="77777777" w:rsidR="006D18DC" w:rsidRDefault="006D18DC" w:rsidP="007151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UAlbertina-Regu">
    <w:altName w:val="Arial"/>
    <w:panose1 w:val="00000000000000000000"/>
    <w:charset w:val="00"/>
    <w:family w:val="swiss"/>
    <w:notTrueType/>
    <w:pitch w:val="default"/>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A2B71" w14:textId="77777777" w:rsidR="006D18DC" w:rsidRDefault="006D18DC" w:rsidP="007151A6">
      <w:pPr>
        <w:spacing w:before="0" w:after="0"/>
      </w:pPr>
      <w:r>
        <w:separator/>
      </w:r>
    </w:p>
  </w:footnote>
  <w:footnote w:type="continuationSeparator" w:id="0">
    <w:p w14:paraId="0EC63F19" w14:textId="77777777" w:rsidR="006D18DC" w:rsidRDefault="006D18DC" w:rsidP="007151A6">
      <w:pPr>
        <w:spacing w:before="0" w:after="0"/>
      </w:pPr>
      <w:r>
        <w:continuationSeparator/>
      </w:r>
    </w:p>
  </w:footnote>
  <w:footnote w:id="1">
    <w:p w14:paraId="0E4EB0BB" w14:textId="77777777" w:rsidR="00DE7318" w:rsidRDefault="00DE7318" w:rsidP="00EC3D5B">
      <w:pPr>
        <w:pStyle w:val="FootnoteText"/>
      </w:pPr>
      <w:r>
        <w:rPr>
          <w:rStyle w:val="FootnoteReference"/>
        </w:rPr>
        <w:footnoteRef/>
      </w:r>
      <w:r>
        <w:t xml:space="preserve"> Publicată în Monitorul Oficial nr. 577 din 29 iunie 2004</w:t>
      </w:r>
    </w:p>
  </w:footnote>
  <w:footnote w:id="2">
    <w:p w14:paraId="7BDEB758" w14:textId="77777777" w:rsidR="00DE7318" w:rsidRDefault="00DE7318" w:rsidP="00EC3D5B">
      <w:pPr>
        <w:pStyle w:val="FootnoteText"/>
      </w:pPr>
      <w:r>
        <w:rPr>
          <w:rStyle w:val="FootnoteReference"/>
        </w:rPr>
        <w:footnoteRef/>
      </w:r>
      <w:r>
        <w:t xml:space="preserve"> Conform Legii nr. 500 / 2002 privind finanţele publice, publicate în Monitorul Oficial nr. 597 / 13 august 2002, cu modificările şi completările ulterioare.</w:t>
      </w:r>
    </w:p>
  </w:footnote>
  <w:footnote w:id="3">
    <w:p w14:paraId="2A2C9AC3" w14:textId="77777777" w:rsidR="00DE7318" w:rsidRDefault="00DE7318" w:rsidP="00EC3D5B">
      <w:pPr>
        <w:pStyle w:val="FootnoteText"/>
      </w:pPr>
      <w:r>
        <w:rPr>
          <w:rStyle w:val="FootnoteReference"/>
        </w:rPr>
        <w:footnoteRef/>
      </w:r>
      <w:r>
        <w:t xml:space="preserve"> Conform Legii 273 / 2006 privind finanţele publice locale, publicate în Monitorul Oficial nr. 618 / 18 iulie 2006, cu modificările şi completările ulterioare.</w:t>
      </w:r>
    </w:p>
  </w:footnote>
  <w:footnote w:id="4">
    <w:p w14:paraId="4AD7803A" w14:textId="77777777" w:rsidR="00DE7318" w:rsidRDefault="00DE7318" w:rsidP="00EC3D5B">
      <w:pPr>
        <w:pStyle w:val="FootnoteText"/>
      </w:pPr>
      <w:r>
        <w:rPr>
          <w:rStyle w:val="FootnoteReference"/>
        </w:rPr>
        <w:footnoteRef/>
      </w:r>
      <w:r>
        <w:t xml:space="preserve"> Publicată în Monitorul Oficial nr.36 din 18 ianuarie 2007</w:t>
      </w:r>
    </w:p>
  </w:footnote>
  <w:footnote w:id="5">
    <w:p w14:paraId="485F1DCB" w14:textId="77777777" w:rsidR="00076E3C" w:rsidRDefault="00076E3C" w:rsidP="00076E3C">
      <w:pPr>
        <w:pStyle w:val="FootnoteText"/>
      </w:pPr>
      <w:r>
        <w:rPr>
          <w:rStyle w:val="FootnoteReference"/>
        </w:rPr>
        <w:footnoteRef/>
      </w:r>
      <w:r>
        <w:t xml:space="preserve"> Publicată în Monitorul Oficial nr. 825 din 13 septembrie 2005</w:t>
      </w:r>
    </w:p>
  </w:footnote>
  <w:footnote w:id="6">
    <w:p w14:paraId="0406BDBB" w14:textId="77777777" w:rsidR="00DE7318" w:rsidRDefault="00DE7318" w:rsidP="00EC3D5B">
      <w:pPr>
        <w:pStyle w:val="FootnoteText"/>
      </w:pPr>
      <w:r>
        <w:rPr>
          <w:rStyle w:val="FootnoteReference"/>
        </w:rPr>
        <w:footnoteRef/>
      </w:r>
      <w:r>
        <w:t xml:space="preserve"> Publicată în Monitorul Oficial nr.48 din 22 ianuarie 2008</w:t>
      </w:r>
    </w:p>
  </w:footnote>
  <w:footnote w:id="7">
    <w:p w14:paraId="29B86D40" w14:textId="77777777" w:rsidR="00822F4B" w:rsidRDefault="00822F4B" w:rsidP="00822F4B">
      <w:pPr>
        <w:pStyle w:val="FootnoteText"/>
      </w:pPr>
      <w:r>
        <w:rPr>
          <w:rStyle w:val="FootnoteReference"/>
        </w:rPr>
        <w:footnoteRef/>
      </w:r>
      <w:r>
        <w:t xml:space="preserve"> </w:t>
      </w:r>
      <w:r>
        <w:rPr>
          <w:rStyle w:val="rvts6"/>
          <w:rFonts w:cs="Arial"/>
        </w:rPr>
        <w:t>Publicată în: Monitorul Oficial Nr. 619 din 30 august 2003</w:t>
      </w:r>
    </w:p>
  </w:footnote>
  <w:footnote w:id="8">
    <w:p w14:paraId="2343F6E9" w14:textId="77777777" w:rsidR="00822F4B" w:rsidRDefault="00822F4B" w:rsidP="00822F4B">
      <w:pPr>
        <w:pStyle w:val="FootnoteText"/>
      </w:pPr>
      <w:r>
        <w:rPr>
          <w:rStyle w:val="FootnoteReference"/>
        </w:rPr>
        <w:footnoteRef/>
      </w:r>
      <w:r>
        <w:t xml:space="preserve"> </w:t>
      </w:r>
      <w:r>
        <w:rPr>
          <w:rStyle w:val="rvts6"/>
          <w:rFonts w:cs="Arial"/>
        </w:rPr>
        <w:t>Publicată în Monitorul Oficial Nr. 619 din 30 august 2003</w:t>
      </w:r>
      <w:r>
        <w:t xml:space="preserve"> </w:t>
      </w:r>
    </w:p>
  </w:footnote>
  <w:footnote w:id="9">
    <w:p w14:paraId="01640724" w14:textId="77777777" w:rsidR="00822F4B" w:rsidRDefault="00822F4B" w:rsidP="00822F4B">
      <w:pPr>
        <w:pStyle w:val="FootnoteText"/>
      </w:pPr>
      <w:r>
        <w:rPr>
          <w:rStyle w:val="FootnoteReference"/>
        </w:rPr>
        <w:footnoteRef/>
      </w:r>
      <w:r>
        <w:t xml:space="preserve"> </w:t>
      </w:r>
      <w:r>
        <w:rPr>
          <w:rStyle w:val="rvts6"/>
          <w:rFonts w:cs="Arial"/>
        </w:rPr>
        <w:t>Publicată în Monitorul Oficial Nr. 682 din 29 iulie 2004</w:t>
      </w:r>
    </w:p>
  </w:footnote>
  <w:footnote w:id="10">
    <w:p w14:paraId="75728FEB" w14:textId="77777777" w:rsidR="00822F4B" w:rsidRDefault="00822F4B" w:rsidP="00822F4B">
      <w:pPr>
        <w:pStyle w:val="FootnoteText"/>
      </w:pPr>
      <w:r>
        <w:rPr>
          <w:rStyle w:val="FootnoteReference"/>
        </w:rPr>
        <w:footnoteRef/>
      </w:r>
      <w:r>
        <w:t xml:space="preserve"> </w:t>
      </w:r>
      <w:r>
        <w:rPr>
          <w:rStyle w:val="rvts6"/>
          <w:rFonts w:cs="Arial"/>
        </w:rPr>
        <w:t>Publicată în Monitorul Oficial Nr. 619 din 30 august 2003</w:t>
      </w:r>
      <w:r>
        <w:t xml:space="preserve"> </w:t>
      </w:r>
    </w:p>
  </w:footnote>
  <w:footnote w:id="11">
    <w:p w14:paraId="47083224" w14:textId="77777777" w:rsidR="00D55230" w:rsidRDefault="00D55230" w:rsidP="00D55230">
      <w:pPr>
        <w:pStyle w:val="FootnoteText"/>
      </w:pPr>
      <w:r>
        <w:rPr>
          <w:rStyle w:val="FootnoteReference"/>
        </w:rPr>
        <w:footnoteRef/>
      </w:r>
      <w:r>
        <w:t xml:space="preserve"> Publicată în Monitorul Oficial nr. 938 din 20 noiembrie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7C0B7" w14:textId="77777777" w:rsidR="00DE7318" w:rsidRDefault="00DE7318" w:rsidP="00A616C8">
    <w:pPr>
      <w:pStyle w:val="Header"/>
    </w:pPr>
  </w:p>
  <w:tbl>
    <w:tblPr>
      <w:tblW w:w="8820" w:type="dxa"/>
      <w:tblInd w:w="108" w:type="dxa"/>
      <w:tblBorders>
        <w:insideH w:val="single" w:sz="4" w:space="0" w:color="808080"/>
      </w:tblBorders>
      <w:tblLook w:val="0000" w:firstRow="0" w:lastRow="0" w:firstColumn="0" w:lastColumn="0" w:noHBand="0" w:noVBand="0"/>
    </w:tblPr>
    <w:tblGrid>
      <w:gridCol w:w="7560"/>
      <w:gridCol w:w="1260"/>
    </w:tblGrid>
    <w:tr w:rsidR="00DE7318" w14:paraId="195978C7" w14:textId="77777777" w:rsidTr="00DE7318">
      <w:tc>
        <w:tcPr>
          <w:tcW w:w="7560" w:type="dxa"/>
        </w:tcPr>
        <w:p w14:paraId="799919CC" w14:textId="77777777" w:rsidR="00DE7318" w:rsidRPr="001F2E80" w:rsidRDefault="00DE7318" w:rsidP="00DE7318">
          <w:pPr>
            <w:spacing w:before="0" w:after="0"/>
            <w:rPr>
              <w:color w:val="808080"/>
              <w:sz w:val="14"/>
            </w:rPr>
          </w:pPr>
          <w:r>
            <w:rPr>
              <w:color w:val="808080"/>
              <w:sz w:val="14"/>
            </w:rPr>
            <w:t>Programul Operaţional Regional 2014-2020</w:t>
          </w:r>
        </w:p>
      </w:tc>
      <w:tc>
        <w:tcPr>
          <w:tcW w:w="1260" w:type="dxa"/>
        </w:tcPr>
        <w:p w14:paraId="29AE8FEE" w14:textId="77777777" w:rsidR="00901A7C" w:rsidRDefault="00901A7C" w:rsidP="00901A7C">
          <w:pPr>
            <w:spacing w:before="0" w:after="0"/>
            <w:jc w:val="right"/>
            <w:rPr>
              <w:color w:val="808080"/>
              <w:sz w:val="14"/>
            </w:rPr>
          </w:pPr>
          <w:r>
            <w:rPr>
              <w:color w:val="808080"/>
              <w:sz w:val="14"/>
            </w:rPr>
            <w:t>Noiembrie</w:t>
          </w:r>
        </w:p>
        <w:p w14:paraId="017FA7EA" w14:textId="0342E48E" w:rsidR="00DE7318" w:rsidRDefault="00901A7C" w:rsidP="00901A7C">
          <w:pPr>
            <w:spacing w:before="0" w:after="0"/>
            <w:jc w:val="right"/>
            <w:rPr>
              <w:color w:val="808080"/>
              <w:sz w:val="14"/>
            </w:rPr>
          </w:pPr>
          <w:r>
            <w:rPr>
              <w:color w:val="808080"/>
              <w:sz w:val="14"/>
            </w:rPr>
            <w:t>2015</w:t>
          </w:r>
          <w:r w:rsidR="00DE7318">
            <w:rPr>
              <w:color w:val="808080"/>
              <w:sz w:val="14"/>
            </w:rPr>
            <w:fldChar w:fldCharType="begin"/>
          </w:r>
          <w:r w:rsidR="00DE7318">
            <w:rPr>
              <w:color w:val="808080"/>
              <w:sz w:val="14"/>
            </w:rPr>
            <w:instrText xml:space="preserve"> SAVEDATE \@ "MMMM yyyy" \* MERGEFORMAT </w:instrText>
          </w:r>
          <w:r w:rsidR="00DE7318">
            <w:rPr>
              <w:color w:val="808080"/>
              <w:sz w:val="14"/>
            </w:rPr>
            <w:fldChar w:fldCharType="separate"/>
          </w:r>
          <w:r w:rsidR="00C74A39">
            <w:rPr>
              <w:noProof/>
              <w:color w:val="808080"/>
              <w:sz w:val="14"/>
            </w:rPr>
            <w:t>noiembrie 2015</w:t>
          </w:r>
          <w:r w:rsidR="00DE7318">
            <w:rPr>
              <w:color w:val="808080"/>
              <w:sz w:val="14"/>
            </w:rPr>
            <w:fldChar w:fldCharType="end"/>
          </w:r>
        </w:p>
      </w:tc>
    </w:tr>
    <w:tr w:rsidR="00DE7318" w14:paraId="47FAF72D" w14:textId="77777777" w:rsidTr="00DE7318">
      <w:trPr>
        <w:cantSplit/>
      </w:trPr>
      <w:tc>
        <w:tcPr>
          <w:tcW w:w="8820" w:type="dxa"/>
          <w:gridSpan w:val="2"/>
        </w:tcPr>
        <w:p w14:paraId="187B29B0" w14:textId="28D47069" w:rsidR="00DE7318" w:rsidRDefault="00DE7318" w:rsidP="00DE7318">
          <w:pPr>
            <w:spacing w:before="0" w:after="0"/>
            <w:jc w:val="right"/>
            <w:rPr>
              <w:b/>
              <w:bCs/>
              <w:color w:val="808080"/>
              <w:sz w:val="14"/>
            </w:rPr>
          </w:pPr>
          <w:r>
            <w:rPr>
              <w:b/>
              <w:bCs/>
              <w:color w:val="808080"/>
              <w:sz w:val="14"/>
            </w:rPr>
            <w:t>Ghidul Solicitantului</w:t>
          </w:r>
        </w:p>
      </w:tc>
    </w:tr>
  </w:tbl>
  <w:p w14:paraId="01E95E51" w14:textId="77777777" w:rsidR="00DE7318" w:rsidRDefault="00DE7318" w:rsidP="00A616C8">
    <w:pPr>
      <w:spacing w:before="0" w:after="0"/>
      <w:jc w:val="right"/>
      <w:rPr>
        <w:b/>
        <w:bCs/>
        <w:color w:val="808080"/>
        <w:sz w:val="14"/>
      </w:rPr>
    </w:pPr>
    <w:r w:rsidRPr="001F2E80">
      <w:rPr>
        <w:b/>
        <w:bCs/>
        <w:color w:val="808080"/>
        <w:sz w:val="14"/>
      </w:rPr>
      <w:t xml:space="preserve">Condiții </w:t>
    </w:r>
    <w:r>
      <w:rPr>
        <w:b/>
        <w:bCs/>
        <w:color w:val="808080"/>
        <w:sz w:val="14"/>
      </w:rPr>
      <w:t xml:space="preserve">generale </w:t>
    </w:r>
    <w:r w:rsidRPr="001F2E80">
      <w:rPr>
        <w:b/>
        <w:bCs/>
        <w:color w:val="808080"/>
        <w:sz w:val="14"/>
      </w:rPr>
      <w:t>de accesare a fondurilor</w:t>
    </w:r>
  </w:p>
  <w:p w14:paraId="70D406DD" w14:textId="77777777" w:rsidR="00DE7318" w:rsidRDefault="00DE7318" w:rsidP="00A616C8">
    <w:pPr>
      <w:spacing w:before="0" w:after="0"/>
      <w:jc w:val="right"/>
      <w:rPr>
        <w:sz w:val="16"/>
      </w:rPr>
    </w:pPr>
    <w:r>
      <w:rPr>
        <w:b/>
        <w:bCs/>
        <w:color w:val="808080"/>
        <w:sz w:val="14"/>
      </w:rPr>
      <w:t xml:space="preserve">ANEXA </w:t>
    </w:r>
    <w:r w:rsidR="00F702C1">
      <w:rPr>
        <w:b/>
        <w:bCs/>
        <w:color w:val="808080"/>
        <w:sz w:val="14"/>
      </w:rPr>
      <w:t>10</w:t>
    </w:r>
    <w:r>
      <w:rPr>
        <w:b/>
        <w:bCs/>
        <w:color w:val="808080"/>
        <w:sz w:val="14"/>
      </w:rPr>
      <w:t>.</w:t>
    </w:r>
    <w:r w:rsidR="00F702C1">
      <w:rPr>
        <w:b/>
        <w:bCs/>
        <w:color w:val="808080"/>
        <w:sz w:val="14"/>
      </w:rPr>
      <w:t>5</w:t>
    </w:r>
  </w:p>
  <w:p w14:paraId="11184A65" w14:textId="77777777" w:rsidR="00DE7318" w:rsidRDefault="00DE73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D0D04"/>
    <w:multiLevelType w:val="hybridMultilevel"/>
    <w:tmpl w:val="0B32D7F2"/>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nsid w:val="1AA00F43"/>
    <w:multiLevelType w:val="hybridMultilevel"/>
    <w:tmpl w:val="5A2A597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DA45716"/>
    <w:multiLevelType w:val="multilevel"/>
    <w:tmpl w:val="42EE29DC"/>
    <w:lvl w:ilvl="0">
      <w:start w:val="1"/>
      <w:numFmt w:val="upperRoman"/>
      <w:pStyle w:val="Heading1"/>
      <w:lvlText w:val="Secţiunea %1."/>
      <w:lvlJc w:val="left"/>
      <w:pPr>
        <w:tabs>
          <w:tab w:val="num" w:pos="2160"/>
        </w:tabs>
        <w:ind w:left="0" w:firstLine="0"/>
      </w:pPr>
      <w:rPr>
        <w:rFonts w:ascii="Trebuchet MS" w:hAnsi="Trebuchet MS" w:hint="default"/>
        <w:b/>
        <w:i w:val="0"/>
        <w:sz w:val="28"/>
      </w:rPr>
    </w:lvl>
    <w:lvl w:ilvl="1">
      <w:start w:val="1"/>
      <w:numFmt w:val="decimal"/>
      <w:pStyle w:val="Heading2"/>
      <w:lvlText w:val="%1.%2."/>
      <w:lvlJc w:val="left"/>
      <w:pPr>
        <w:tabs>
          <w:tab w:val="num" w:pos="1656"/>
        </w:tabs>
        <w:ind w:left="1656" w:hanging="792"/>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lowerLetter"/>
      <w:lvlText w:val="%4)"/>
      <w:lvlJc w:val="left"/>
      <w:pPr>
        <w:tabs>
          <w:tab w:val="num" w:pos="2160"/>
        </w:tabs>
        <w:ind w:left="1440" w:hanging="360"/>
      </w:pPr>
      <w:rPr>
        <w:rFonts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404A0587"/>
    <w:multiLevelType w:val="hybridMultilevel"/>
    <w:tmpl w:val="52A873B0"/>
    <w:lvl w:ilvl="0" w:tplc="6114D322">
      <w:start w:val="1"/>
      <w:numFmt w:val="bullet"/>
      <w:lvlText w:val=""/>
      <w:lvlJc w:val="left"/>
      <w:pPr>
        <w:tabs>
          <w:tab w:val="num" w:pos="360"/>
        </w:tabs>
        <w:ind w:left="360" w:hanging="360"/>
      </w:pPr>
      <w:rPr>
        <w:rFonts w:ascii="Wingdings" w:hAnsi="Wingdings" w:hint="default"/>
        <w:color w:val="808080"/>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Times New Roman"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Times New Roman"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4">
    <w:nsid w:val="42DD4DCF"/>
    <w:multiLevelType w:val="hybridMultilevel"/>
    <w:tmpl w:val="3A5685EE"/>
    <w:lvl w:ilvl="0" w:tplc="C4521552">
      <w:start w:val="1"/>
      <w:numFmt w:val="bullet"/>
      <w:pStyle w:val="bullet1"/>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6B8158C"/>
    <w:multiLevelType w:val="hybridMultilevel"/>
    <w:tmpl w:val="A52C11E8"/>
    <w:lvl w:ilvl="0" w:tplc="0409000B">
      <w:start w:val="1"/>
      <w:numFmt w:val="bullet"/>
      <w:lvlText w:val=""/>
      <w:lvlJc w:val="left"/>
      <w:pPr>
        <w:tabs>
          <w:tab w:val="num" w:pos="502"/>
        </w:tabs>
        <w:ind w:left="502" w:hanging="360"/>
      </w:pPr>
      <w:rPr>
        <w:rFonts w:ascii="Wingdings" w:hAnsi="Wingdings" w:hint="default"/>
      </w:rPr>
    </w:lvl>
    <w:lvl w:ilvl="1" w:tplc="04090003">
      <w:start w:val="1"/>
      <w:numFmt w:val="bullet"/>
      <w:lvlText w:val="o"/>
      <w:lvlJc w:val="left"/>
      <w:pPr>
        <w:tabs>
          <w:tab w:val="num" w:pos="1222"/>
        </w:tabs>
        <w:ind w:left="1222" w:hanging="360"/>
      </w:pPr>
      <w:rPr>
        <w:rFonts w:ascii="Courier New" w:hAnsi="Courier New" w:cs="Times New Roman" w:hint="default"/>
      </w:rPr>
    </w:lvl>
    <w:lvl w:ilvl="2" w:tplc="04090005">
      <w:start w:val="1"/>
      <w:numFmt w:val="bullet"/>
      <w:lvlText w:val=""/>
      <w:lvlJc w:val="left"/>
      <w:pPr>
        <w:tabs>
          <w:tab w:val="num" w:pos="1942"/>
        </w:tabs>
        <w:ind w:left="1942" w:hanging="360"/>
      </w:pPr>
      <w:rPr>
        <w:rFonts w:ascii="Wingdings" w:hAnsi="Wingdings" w:hint="default"/>
      </w:rPr>
    </w:lvl>
    <w:lvl w:ilvl="3" w:tplc="04090001">
      <w:start w:val="1"/>
      <w:numFmt w:val="bullet"/>
      <w:lvlText w:val=""/>
      <w:lvlJc w:val="left"/>
      <w:pPr>
        <w:tabs>
          <w:tab w:val="num" w:pos="2662"/>
        </w:tabs>
        <w:ind w:left="2662" w:hanging="360"/>
      </w:pPr>
      <w:rPr>
        <w:rFonts w:ascii="Symbol" w:hAnsi="Symbol" w:hint="default"/>
      </w:rPr>
    </w:lvl>
    <w:lvl w:ilvl="4" w:tplc="04090003">
      <w:start w:val="1"/>
      <w:numFmt w:val="bullet"/>
      <w:lvlText w:val="o"/>
      <w:lvlJc w:val="left"/>
      <w:pPr>
        <w:tabs>
          <w:tab w:val="num" w:pos="3382"/>
        </w:tabs>
        <w:ind w:left="3382" w:hanging="360"/>
      </w:pPr>
      <w:rPr>
        <w:rFonts w:ascii="Courier New" w:hAnsi="Courier New" w:cs="Times New Roman" w:hint="default"/>
      </w:rPr>
    </w:lvl>
    <w:lvl w:ilvl="5" w:tplc="04090005">
      <w:start w:val="1"/>
      <w:numFmt w:val="bullet"/>
      <w:lvlText w:val=""/>
      <w:lvlJc w:val="left"/>
      <w:pPr>
        <w:tabs>
          <w:tab w:val="num" w:pos="4102"/>
        </w:tabs>
        <w:ind w:left="4102" w:hanging="360"/>
      </w:pPr>
      <w:rPr>
        <w:rFonts w:ascii="Wingdings" w:hAnsi="Wingdings" w:hint="default"/>
      </w:rPr>
    </w:lvl>
    <w:lvl w:ilvl="6" w:tplc="04090001">
      <w:start w:val="1"/>
      <w:numFmt w:val="bullet"/>
      <w:lvlText w:val=""/>
      <w:lvlJc w:val="left"/>
      <w:pPr>
        <w:tabs>
          <w:tab w:val="num" w:pos="4822"/>
        </w:tabs>
        <w:ind w:left="4822" w:hanging="360"/>
      </w:pPr>
      <w:rPr>
        <w:rFonts w:ascii="Symbol" w:hAnsi="Symbol" w:hint="default"/>
      </w:rPr>
    </w:lvl>
    <w:lvl w:ilvl="7" w:tplc="04090003">
      <w:start w:val="1"/>
      <w:numFmt w:val="bullet"/>
      <w:lvlText w:val="o"/>
      <w:lvlJc w:val="left"/>
      <w:pPr>
        <w:tabs>
          <w:tab w:val="num" w:pos="5542"/>
        </w:tabs>
        <w:ind w:left="5542" w:hanging="360"/>
      </w:pPr>
      <w:rPr>
        <w:rFonts w:ascii="Courier New" w:hAnsi="Courier New" w:cs="Times New Roman" w:hint="default"/>
      </w:rPr>
    </w:lvl>
    <w:lvl w:ilvl="8" w:tplc="04090005">
      <w:start w:val="1"/>
      <w:numFmt w:val="bullet"/>
      <w:lvlText w:val=""/>
      <w:lvlJc w:val="left"/>
      <w:pPr>
        <w:tabs>
          <w:tab w:val="num" w:pos="6262"/>
        </w:tabs>
        <w:ind w:left="6262" w:hanging="360"/>
      </w:pPr>
      <w:rPr>
        <w:rFonts w:ascii="Wingdings" w:hAnsi="Wingdings" w:hint="default"/>
      </w:rPr>
    </w:lvl>
  </w:abstractNum>
  <w:abstractNum w:abstractNumId="6">
    <w:nsid w:val="598757B3"/>
    <w:multiLevelType w:val="hybridMultilevel"/>
    <w:tmpl w:val="5F862D16"/>
    <w:lvl w:ilvl="0" w:tplc="A0487CA6">
      <w:start w:val="1"/>
      <w:numFmt w:val="lowerLetter"/>
      <w:lvlText w:val="%1)"/>
      <w:lvlJc w:val="left"/>
      <w:pPr>
        <w:tabs>
          <w:tab w:val="num" w:pos="469"/>
        </w:tabs>
        <w:ind w:left="469" w:hanging="360"/>
      </w:pPr>
      <w:rPr>
        <w:rFonts w:hint="default"/>
      </w:rPr>
    </w:lvl>
    <w:lvl w:ilvl="1" w:tplc="04090019" w:tentative="1">
      <w:start w:val="1"/>
      <w:numFmt w:val="lowerLetter"/>
      <w:lvlText w:val="%2."/>
      <w:lvlJc w:val="left"/>
      <w:pPr>
        <w:tabs>
          <w:tab w:val="num" w:pos="1189"/>
        </w:tabs>
        <w:ind w:left="1189" w:hanging="360"/>
      </w:pPr>
    </w:lvl>
    <w:lvl w:ilvl="2" w:tplc="0409001B" w:tentative="1">
      <w:start w:val="1"/>
      <w:numFmt w:val="lowerRoman"/>
      <w:lvlText w:val="%3."/>
      <w:lvlJc w:val="right"/>
      <w:pPr>
        <w:tabs>
          <w:tab w:val="num" w:pos="1909"/>
        </w:tabs>
        <w:ind w:left="1909" w:hanging="180"/>
      </w:pPr>
    </w:lvl>
    <w:lvl w:ilvl="3" w:tplc="0409000F" w:tentative="1">
      <w:start w:val="1"/>
      <w:numFmt w:val="decimal"/>
      <w:lvlText w:val="%4."/>
      <w:lvlJc w:val="left"/>
      <w:pPr>
        <w:tabs>
          <w:tab w:val="num" w:pos="2629"/>
        </w:tabs>
        <w:ind w:left="2629" w:hanging="360"/>
      </w:pPr>
    </w:lvl>
    <w:lvl w:ilvl="4" w:tplc="04090019" w:tentative="1">
      <w:start w:val="1"/>
      <w:numFmt w:val="lowerLetter"/>
      <w:lvlText w:val="%5."/>
      <w:lvlJc w:val="left"/>
      <w:pPr>
        <w:tabs>
          <w:tab w:val="num" w:pos="3349"/>
        </w:tabs>
        <w:ind w:left="3349" w:hanging="360"/>
      </w:pPr>
    </w:lvl>
    <w:lvl w:ilvl="5" w:tplc="0409001B" w:tentative="1">
      <w:start w:val="1"/>
      <w:numFmt w:val="lowerRoman"/>
      <w:lvlText w:val="%6."/>
      <w:lvlJc w:val="right"/>
      <w:pPr>
        <w:tabs>
          <w:tab w:val="num" w:pos="4069"/>
        </w:tabs>
        <w:ind w:left="4069" w:hanging="180"/>
      </w:pPr>
    </w:lvl>
    <w:lvl w:ilvl="6" w:tplc="0409000F" w:tentative="1">
      <w:start w:val="1"/>
      <w:numFmt w:val="decimal"/>
      <w:lvlText w:val="%7."/>
      <w:lvlJc w:val="left"/>
      <w:pPr>
        <w:tabs>
          <w:tab w:val="num" w:pos="4789"/>
        </w:tabs>
        <w:ind w:left="4789" w:hanging="360"/>
      </w:pPr>
    </w:lvl>
    <w:lvl w:ilvl="7" w:tplc="04090019" w:tentative="1">
      <w:start w:val="1"/>
      <w:numFmt w:val="lowerLetter"/>
      <w:lvlText w:val="%8."/>
      <w:lvlJc w:val="left"/>
      <w:pPr>
        <w:tabs>
          <w:tab w:val="num" w:pos="5509"/>
        </w:tabs>
        <w:ind w:left="5509" w:hanging="360"/>
      </w:pPr>
    </w:lvl>
    <w:lvl w:ilvl="8" w:tplc="0409001B" w:tentative="1">
      <w:start w:val="1"/>
      <w:numFmt w:val="lowerRoman"/>
      <w:lvlText w:val="%9."/>
      <w:lvlJc w:val="right"/>
      <w:pPr>
        <w:tabs>
          <w:tab w:val="num" w:pos="6229"/>
        </w:tabs>
        <w:ind w:left="6229" w:hanging="180"/>
      </w:pPr>
    </w:lvl>
  </w:abstractNum>
  <w:abstractNum w:abstractNumId="7">
    <w:nsid w:val="5CFB40DD"/>
    <w:multiLevelType w:val="hybridMultilevel"/>
    <w:tmpl w:val="B80ACC1A"/>
    <w:lvl w:ilvl="0" w:tplc="004A991E">
      <w:numFmt w:val="bullet"/>
      <w:lvlText w:val="-"/>
      <w:lvlJc w:val="left"/>
      <w:pPr>
        <w:ind w:left="530" w:hanging="360"/>
      </w:pPr>
      <w:rPr>
        <w:rFonts w:ascii="Trebuchet MS" w:eastAsia="Times New Roman" w:hAnsi="Trebuchet MS" w:cs="Tahoma" w:hint="default"/>
      </w:rPr>
    </w:lvl>
    <w:lvl w:ilvl="1" w:tplc="04180003" w:tentative="1">
      <w:start w:val="1"/>
      <w:numFmt w:val="bullet"/>
      <w:lvlText w:val="o"/>
      <w:lvlJc w:val="left"/>
      <w:pPr>
        <w:ind w:left="1250" w:hanging="360"/>
      </w:pPr>
      <w:rPr>
        <w:rFonts w:ascii="Courier New" w:hAnsi="Courier New" w:cs="Courier New" w:hint="default"/>
      </w:rPr>
    </w:lvl>
    <w:lvl w:ilvl="2" w:tplc="04180005" w:tentative="1">
      <w:start w:val="1"/>
      <w:numFmt w:val="bullet"/>
      <w:lvlText w:val=""/>
      <w:lvlJc w:val="left"/>
      <w:pPr>
        <w:ind w:left="1970" w:hanging="360"/>
      </w:pPr>
      <w:rPr>
        <w:rFonts w:ascii="Wingdings" w:hAnsi="Wingdings" w:hint="default"/>
      </w:rPr>
    </w:lvl>
    <w:lvl w:ilvl="3" w:tplc="04180001" w:tentative="1">
      <w:start w:val="1"/>
      <w:numFmt w:val="bullet"/>
      <w:lvlText w:val=""/>
      <w:lvlJc w:val="left"/>
      <w:pPr>
        <w:ind w:left="2690" w:hanging="360"/>
      </w:pPr>
      <w:rPr>
        <w:rFonts w:ascii="Symbol" w:hAnsi="Symbol" w:hint="default"/>
      </w:rPr>
    </w:lvl>
    <w:lvl w:ilvl="4" w:tplc="04180003" w:tentative="1">
      <w:start w:val="1"/>
      <w:numFmt w:val="bullet"/>
      <w:lvlText w:val="o"/>
      <w:lvlJc w:val="left"/>
      <w:pPr>
        <w:ind w:left="3410" w:hanging="360"/>
      </w:pPr>
      <w:rPr>
        <w:rFonts w:ascii="Courier New" w:hAnsi="Courier New" w:cs="Courier New" w:hint="default"/>
      </w:rPr>
    </w:lvl>
    <w:lvl w:ilvl="5" w:tplc="04180005" w:tentative="1">
      <w:start w:val="1"/>
      <w:numFmt w:val="bullet"/>
      <w:lvlText w:val=""/>
      <w:lvlJc w:val="left"/>
      <w:pPr>
        <w:ind w:left="4130" w:hanging="360"/>
      </w:pPr>
      <w:rPr>
        <w:rFonts w:ascii="Wingdings" w:hAnsi="Wingdings" w:hint="default"/>
      </w:rPr>
    </w:lvl>
    <w:lvl w:ilvl="6" w:tplc="04180001" w:tentative="1">
      <w:start w:val="1"/>
      <w:numFmt w:val="bullet"/>
      <w:lvlText w:val=""/>
      <w:lvlJc w:val="left"/>
      <w:pPr>
        <w:ind w:left="4850" w:hanging="360"/>
      </w:pPr>
      <w:rPr>
        <w:rFonts w:ascii="Symbol" w:hAnsi="Symbol" w:hint="default"/>
      </w:rPr>
    </w:lvl>
    <w:lvl w:ilvl="7" w:tplc="04180003" w:tentative="1">
      <w:start w:val="1"/>
      <w:numFmt w:val="bullet"/>
      <w:lvlText w:val="o"/>
      <w:lvlJc w:val="left"/>
      <w:pPr>
        <w:ind w:left="5570" w:hanging="360"/>
      </w:pPr>
      <w:rPr>
        <w:rFonts w:ascii="Courier New" w:hAnsi="Courier New" w:cs="Courier New" w:hint="default"/>
      </w:rPr>
    </w:lvl>
    <w:lvl w:ilvl="8" w:tplc="04180005" w:tentative="1">
      <w:start w:val="1"/>
      <w:numFmt w:val="bullet"/>
      <w:lvlText w:val=""/>
      <w:lvlJc w:val="left"/>
      <w:pPr>
        <w:ind w:left="6290" w:hanging="360"/>
      </w:pPr>
      <w:rPr>
        <w:rFonts w:ascii="Wingdings" w:hAnsi="Wingdings" w:hint="default"/>
      </w:rPr>
    </w:lvl>
  </w:abstractNum>
  <w:abstractNum w:abstractNumId="8">
    <w:nsid w:val="66535CE8"/>
    <w:multiLevelType w:val="hybridMultilevel"/>
    <w:tmpl w:val="E9561E30"/>
    <w:lvl w:ilvl="0" w:tplc="EE280BDA">
      <w:start w:val="2"/>
      <w:numFmt w:val="bullet"/>
      <w:lvlText w:val="-"/>
      <w:lvlJc w:val="left"/>
      <w:pPr>
        <w:tabs>
          <w:tab w:val="num" w:pos="1980"/>
        </w:tabs>
        <w:ind w:left="1980" w:hanging="360"/>
      </w:pPr>
      <w:rPr>
        <w:rFonts w:ascii="Times New Roman" w:eastAsia="Times New Roman" w:hAnsi="Times New Roman" w:cs="Times New Roman" w:hint="default"/>
      </w:rPr>
    </w:lvl>
    <w:lvl w:ilvl="1" w:tplc="04090003" w:tentative="1">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9">
    <w:nsid w:val="68734FCC"/>
    <w:multiLevelType w:val="hybridMultilevel"/>
    <w:tmpl w:val="2AF45FF2"/>
    <w:lvl w:ilvl="0" w:tplc="B0D2EB6E">
      <w:numFmt w:val="bullet"/>
      <w:lvlText w:val="-"/>
      <w:lvlJc w:val="left"/>
      <w:pPr>
        <w:tabs>
          <w:tab w:val="num" w:pos="2160"/>
        </w:tabs>
        <w:ind w:left="2160" w:hanging="5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795512A"/>
    <w:multiLevelType w:val="hybridMultilevel"/>
    <w:tmpl w:val="05E2F1A2"/>
    <w:lvl w:ilvl="0" w:tplc="6114D322">
      <w:start w:val="1"/>
      <w:numFmt w:val="bullet"/>
      <w:lvlText w:val=""/>
      <w:lvlJc w:val="left"/>
      <w:pPr>
        <w:tabs>
          <w:tab w:val="num" w:pos="502"/>
        </w:tabs>
        <w:ind w:left="502" w:hanging="360"/>
      </w:pPr>
      <w:rPr>
        <w:rFonts w:ascii="Wingdings" w:hAnsi="Wingdings" w:hint="default"/>
        <w:color w:val="808080"/>
      </w:rPr>
    </w:lvl>
    <w:lvl w:ilvl="1" w:tplc="04090003">
      <w:start w:val="1"/>
      <w:numFmt w:val="bullet"/>
      <w:lvlText w:val="o"/>
      <w:lvlJc w:val="left"/>
      <w:pPr>
        <w:tabs>
          <w:tab w:val="num" w:pos="-578"/>
        </w:tabs>
        <w:ind w:left="-578" w:hanging="360"/>
      </w:pPr>
      <w:rPr>
        <w:rFonts w:ascii="Courier New" w:hAnsi="Courier New" w:cs="Times New Roman" w:hint="default"/>
      </w:rPr>
    </w:lvl>
    <w:lvl w:ilvl="2" w:tplc="04090005">
      <w:start w:val="1"/>
      <w:numFmt w:val="bullet"/>
      <w:lvlText w:val=""/>
      <w:lvlJc w:val="left"/>
      <w:pPr>
        <w:tabs>
          <w:tab w:val="num" w:pos="142"/>
        </w:tabs>
        <w:ind w:left="142" w:hanging="360"/>
      </w:pPr>
      <w:rPr>
        <w:rFonts w:ascii="Wingdings" w:hAnsi="Wingdings" w:hint="default"/>
      </w:rPr>
    </w:lvl>
    <w:lvl w:ilvl="3" w:tplc="04090001">
      <w:start w:val="1"/>
      <w:numFmt w:val="bullet"/>
      <w:lvlText w:val=""/>
      <w:lvlJc w:val="left"/>
      <w:pPr>
        <w:tabs>
          <w:tab w:val="num" w:pos="862"/>
        </w:tabs>
        <w:ind w:left="862" w:hanging="360"/>
      </w:pPr>
      <w:rPr>
        <w:rFonts w:ascii="Symbol" w:hAnsi="Symbol" w:hint="default"/>
      </w:rPr>
    </w:lvl>
    <w:lvl w:ilvl="4" w:tplc="04090003">
      <w:start w:val="1"/>
      <w:numFmt w:val="bullet"/>
      <w:lvlText w:val="o"/>
      <w:lvlJc w:val="left"/>
      <w:pPr>
        <w:tabs>
          <w:tab w:val="num" w:pos="1582"/>
        </w:tabs>
        <w:ind w:left="1582" w:hanging="360"/>
      </w:pPr>
      <w:rPr>
        <w:rFonts w:ascii="Courier New" w:hAnsi="Courier New" w:cs="Times New Roman" w:hint="default"/>
      </w:rPr>
    </w:lvl>
    <w:lvl w:ilvl="5" w:tplc="04090005">
      <w:start w:val="1"/>
      <w:numFmt w:val="bullet"/>
      <w:lvlText w:val=""/>
      <w:lvlJc w:val="left"/>
      <w:pPr>
        <w:tabs>
          <w:tab w:val="num" w:pos="2302"/>
        </w:tabs>
        <w:ind w:left="2302" w:hanging="360"/>
      </w:pPr>
      <w:rPr>
        <w:rFonts w:ascii="Wingdings" w:hAnsi="Wingdings" w:hint="default"/>
      </w:rPr>
    </w:lvl>
    <w:lvl w:ilvl="6" w:tplc="04090001">
      <w:start w:val="1"/>
      <w:numFmt w:val="bullet"/>
      <w:lvlText w:val=""/>
      <w:lvlJc w:val="left"/>
      <w:pPr>
        <w:tabs>
          <w:tab w:val="num" w:pos="3022"/>
        </w:tabs>
        <w:ind w:left="3022" w:hanging="360"/>
      </w:pPr>
      <w:rPr>
        <w:rFonts w:ascii="Symbol" w:hAnsi="Symbol" w:hint="default"/>
      </w:rPr>
    </w:lvl>
    <w:lvl w:ilvl="7" w:tplc="04090003">
      <w:start w:val="1"/>
      <w:numFmt w:val="bullet"/>
      <w:lvlText w:val="o"/>
      <w:lvlJc w:val="left"/>
      <w:pPr>
        <w:tabs>
          <w:tab w:val="num" w:pos="3742"/>
        </w:tabs>
        <w:ind w:left="3742" w:hanging="360"/>
      </w:pPr>
      <w:rPr>
        <w:rFonts w:ascii="Courier New" w:hAnsi="Courier New" w:cs="Times New Roman" w:hint="default"/>
      </w:rPr>
    </w:lvl>
    <w:lvl w:ilvl="8" w:tplc="04090005">
      <w:start w:val="1"/>
      <w:numFmt w:val="bullet"/>
      <w:lvlText w:val=""/>
      <w:lvlJc w:val="left"/>
      <w:pPr>
        <w:tabs>
          <w:tab w:val="num" w:pos="4462"/>
        </w:tabs>
        <w:ind w:left="4462" w:hanging="360"/>
      </w:pPr>
      <w:rPr>
        <w:rFonts w:ascii="Wingdings" w:hAnsi="Wingdings" w:hint="default"/>
      </w:rPr>
    </w:lvl>
  </w:abstractNum>
  <w:abstractNum w:abstractNumId="11">
    <w:nsid w:val="784A1018"/>
    <w:multiLevelType w:val="hybridMultilevel"/>
    <w:tmpl w:val="2C9CA9FC"/>
    <w:lvl w:ilvl="0" w:tplc="04180001">
      <w:start w:val="1"/>
      <w:numFmt w:val="bullet"/>
      <w:lvlText w:val=""/>
      <w:lvlJc w:val="left"/>
      <w:pPr>
        <w:ind w:left="901" w:hanging="360"/>
      </w:pPr>
      <w:rPr>
        <w:rFonts w:ascii="Symbol" w:hAnsi="Symbol" w:hint="default"/>
      </w:rPr>
    </w:lvl>
    <w:lvl w:ilvl="1" w:tplc="04180003" w:tentative="1">
      <w:start w:val="1"/>
      <w:numFmt w:val="bullet"/>
      <w:lvlText w:val="o"/>
      <w:lvlJc w:val="left"/>
      <w:pPr>
        <w:ind w:left="1621" w:hanging="360"/>
      </w:pPr>
      <w:rPr>
        <w:rFonts w:ascii="Courier New" w:hAnsi="Courier New" w:cs="Courier New" w:hint="default"/>
      </w:rPr>
    </w:lvl>
    <w:lvl w:ilvl="2" w:tplc="04180005" w:tentative="1">
      <w:start w:val="1"/>
      <w:numFmt w:val="bullet"/>
      <w:lvlText w:val=""/>
      <w:lvlJc w:val="left"/>
      <w:pPr>
        <w:ind w:left="2341" w:hanging="360"/>
      </w:pPr>
      <w:rPr>
        <w:rFonts w:ascii="Wingdings" w:hAnsi="Wingdings" w:hint="default"/>
      </w:rPr>
    </w:lvl>
    <w:lvl w:ilvl="3" w:tplc="04180001" w:tentative="1">
      <w:start w:val="1"/>
      <w:numFmt w:val="bullet"/>
      <w:lvlText w:val=""/>
      <w:lvlJc w:val="left"/>
      <w:pPr>
        <w:ind w:left="3061" w:hanging="360"/>
      </w:pPr>
      <w:rPr>
        <w:rFonts w:ascii="Symbol" w:hAnsi="Symbol" w:hint="default"/>
      </w:rPr>
    </w:lvl>
    <w:lvl w:ilvl="4" w:tplc="04180003" w:tentative="1">
      <w:start w:val="1"/>
      <w:numFmt w:val="bullet"/>
      <w:lvlText w:val="o"/>
      <w:lvlJc w:val="left"/>
      <w:pPr>
        <w:ind w:left="3781" w:hanging="360"/>
      </w:pPr>
      <w:rPr>
        <w:rFonts w:ascii="Courier New" w:hAnsi="Courier New" w:cs="Courier New" w:hint="default"/>
      </w:rPr>
    </w:lvl>
    <w:lvl w:ilvl="5" w:tplc="04180005" w:tentative="1">
      <w:start w:val="1"/>
      <w:numFmt w:val="bullet"/>
      <w:lvlText w:val=""/>
      <w:lvlJc w:val="left"/>
      <w:pPr>
        <w:ind w:left="4501" w:hanging="360"/>
      </w:pPr>
      <w:rPr>
        <w:rFonts w:ascii="Wingdings" w:hAnsi="Wingdings" w:hint="default"/>
      </w:rPr>
    </w:lvl>
    <w:lvl w:ilvl="6" w:tplc="04180001" w:tentative="1">
      <w:start w:val="1"/>
      <w:numFmt w:val="bullet"/>
      <w:lvlText w:val=""/>
      <w:lvlJc w:val="left"/>
      <w:pPr>
        <w:ind w:left="5221" w:hanging="360"/>
      </w:pPr>
      <w:rPr>
        <w:rFonts w:ascii="Symbol" w:hAnsi="Symbol" w:hint="default"/>
      </w:rPr>
    </w:lvl>
    <w:lvl w:ilvl="7" w:tplc="04180003" w:tentative="1">
      <w:start w:val="1"/>
      <w:numFmt w:val="bullet"/>
      <w:lvlText w:val="o"/>
      <w:lvlJc w:val="left"/>
      <w:pPr>
        <w:ind w:left="5941" w:hanging="360"/>
      </w:pPr>
      <w:rPr>
        <w:rFonts w:ascii="Courier New" w:hAnsi="Courier New" w:cs="Courier New" w:hint="default"/>
      </w:rPr>
    </w:lvl>
    <w:lvl w:ilvl="8" w:tplc="04180005" w:tentative="1">
      <w:start w:val="1"/>
      <w:numFmt w:val="bullet"/>
      <w:lvlText w:val=""/>
      <w:lvlJc w:val="left"/>
      <w:pPr>
        <w:ind w:left="6661" w:hanging="360"/>
      </w:pPr>
      <w:rPr>
        <w:rFonts w:ascii="Wingdings" w:hAnsi="Wingdings" w:hint="default"/>
      </w:rPr>
    </w:lvl>
  </w:abstractNum>
  <w:num w:numId="1">
    <w:abstractNumId w:val="2"/>
  </w:num>
  <w:num w:numId="2">
    <w:abstractNumId w:val="2"/>
  </w:num>
  <w:num w:numId="3">
    <w:abstractNumId w:val="2"/>
  </w:num>
  <w:num w:numId="4">
    <w:abstractNumId w:val="4"/>
  </w:num>
  <w:num w:numId="5">
    <w:abstractNumId w:val="9"/>
  </w:num>
  <w:num w:numId="6">
    <w:abstractNumId w:val="8"/>
  </w:num>
  <w:num w:numId="7">
    <w:abstractNumId w:val="6"/>
  </w:num>
  <w:num w:numId="8">
    <w:abstractNumId w:val="5"/>
  </w:num>
  <w:num w:numId="9">
    <w:abstractNumId w:val="10"/>
  </w:num>
  <w:num w:numId="10">
    <w:abstractNumId w:val="3"/>
  </w:num>
  <w:num w:numId="11">
    <w:abstractNumId w:val="1"/>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usor Sanda">
    <w15:presenceInfo w15:providerId="AD" w15:userId="S-1-5-21-2784544311-199262477-2526794783-163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C74"/>
    <w:rsid w:val="000024AB"/>
    <w:rsid w:val="00007777"/>
    <w:rsid w:val="00011DBE"/>
    <w:rsid w:val="00047635"/>
    <w:rsid w:val="000511A9"/>
    <w:rsid w:val="00053C57"/>
    <w:rsid w:val="00073206"/>
    <w:rsid w:val="00076E3C"/>
    <w:rsid w:val="000834F4"/>
    <w:rsid w:val="0008714E"/>
    <w:rsid w:val="000A0ADD"/>
    <w:rsid w:val="000A2197"/>
    <w:rsid w:val="000A426B"/>
    <w:rsid w:val="000B3D40"/>
    <w:rsid w:val="000C0462"/>
    <w:rsid w:val="000D201F"/>
    <w:rsid w:val="000D360A"/>
    <w:rsid w:val="000E0834"/>
    <w:rsid w:val="000E7462"/>
    <w:rsid w:val="000F2183"/>
    <w:rsid w:val="000F2B1E"/>
    <w:rsid w:val="000F4979"/>
    <w:rsid w:val="00100E0D"/>
    <w:rsid w:val="00132040"/>
    <w:rsid w:val="001451D6"/>
    <w:rsid w:val="00152806"/>
    <w:rsid w:val="001571E5"/>
    <w:rsid w:val="00170F4D"/>
    <w:rsid w:val="00174F2C"/>
    <w:rsid w:val="0019639E"/>
    <w:rsid w:val="001970D1"/>
    <w:rsid w:val="001C3077"/>
    <w:rsid w:val="001D0478"/>
    <w:rsid w:val="001D54B0"/>
    <w:rsid w:val="001E0455"/>
    <w:rsid w:val="001E3A50"/>
    <w:rsid w:val="001F23D6"/>
    <w:rsid w:val="001F5609"/>
    <w:rsid w:val="00226CFA"/>
    <w:rsid w:val="002457A2"/>
    <w:rsid w:val="00250FD6"/>
    <w:rsid w:val="00254D30"/>
    <w:rsid w:val="00277112"/>
    <w:rsid w:val="00277725"/>
    <w:rsid w:val="002849B3"/>
    <w:rsid w:val="00291145"/>
    <w:rsid w:val="002930C0"/>
    <w:rsid w:val="00295FF2"/>
    <w:rsid w:val="002C079F"/>
    <w:rsid w:val="002D250D"/>
    <w:rsid w:val="002D3813"/>
    <w:rsid w:val="002F19EA"/>
    <w:rsid w:val="003306C8"/>
    <w:rsid w:val="003405D4"/>
    <w:rsid w:val="00341D09"/>
    <w:rsid w:val="003457E5"/>
    <w:rsid w:val="00347756"/>
    <w:rsid w:val="00353D86"/>
    <w:rsid w:val="00367200"/>
    <w:rsid w:val="003A10AC"/>
    <w:rsid w:val="003A3A1D"/>
    <w:rsid w:val="003B0DA1"/>
    <w:rsid w:val="003B2741"/>
    <w:rsid w:val="003B4924"/>
    <w:rsid w:val="003D3B5A"/>
    <w:rsid w:val="00414C97"/>
    <w:rsid w:val="00415FCF"/>
    <w:rsid w:val="00421F4E"/>
    <w:rsid w:val="00433A86"/>
    <w:rsid w:val="00461F4C"/>
    <w:rsid w:val="0047226E"/>
    <w:rsid w:val="0048018D"/>
    <w:rsid w:val="004978B1"/>
    <w:rsid w:val="004A1C74"/>
    <w:rsid w:val="004B6D37"/>
    <w:rsid w:val="004C23F8"/>
    <w:rsid w:val="004C397F"/>
    <w:rsid w:val="004D19C0"/>
    <w:rsid w:val="004E55B9"/>
    <w:rsid w:val="004E78C8"/>
    <w:rsid w:val="00501EA1"/>
    <w:rsid w:val="005338EB"/>
    <w:rsid w:val="0057136D"/>
    <w:rsid w:val="0057409F"/>
    <w:rsid w:val="00581426"/>
    <w:rsid w:val="00582F74"/>
    <w:rsid w:val="00584CAC"/>
    <w:rsid w:val="005B495B"/>
    <w:rsid w:val="005D2EC2"/>
    <w:rsid w:val="005D6441"/>
    <w:rsid w:val="005D7DFE"/>
    <w:rsid w:val="00615640"/>
    <w:rsid w:val="006220B5"/>
    <w:rsid w:val="00627FDE"/>
    <w:rsid w:val="00640A5D"/>
    <w:rsid w:val="00644DA7"/>
    <w:rsid w:val="00654E60"/>
    <w:rsid w:val="00657F4B"/>
    <w:rsid w:val="00664199"/>
    <w:rsid w:val="00673E75"/>
    <w:rsid w:val="00674BCC"/>
    <w:rsid w:val="006B0817"/>
    <w:rsid w:val="006B6705"/>
    <w:rsid w:val="006C3B34"/>
    <w:rsid w:val="006D18DC"/>
    <w:rsid w:val="0070101B"/>
    <w:rsid w:val="00707FBF"/>
    <w:rsid w:val="00711A14"/>
    <w:rsid w:val="007151A6"/>
    <w:rsid w:val="00734990"/>
    <w:rsid w:val="00750070"/>
    <w:rsid w:val="00751A99"/>
    <w:rsid w:val="00765794"/>
    <w:rsid w:val="0078541A"/>
    <w:rsid w:val="00796976"/>
    <w:rsid w:val="00797026"/>
    <w:rsid w:val="007C1135"/>
    <w:rsid w:val="007C274F"/>
    <w:rsid w:val="007C3280"/>
    <w:rsid w:val="007C59FC"/>
    <w:rsid w:val="007C6236"/>
    <w:rsid w:val="007E77FA"/>
    <w:rsid w:val="00822F4B"/>
    <w:rsid w:val="00825494"/>
    <w:rsid w:val="00830DEB"/>
    <w:rsid w:val="00836C45"/>
    <w:rsid w:val="00843023"/>
    <w:rsid w:val="008717E9"/>
    <w:rsid w:val="00872A1A"/>
    <w:rsid w:val="008847AA"/>
    <w:rsid w:val="00893564"/>
    <w:rsid w:val="008A0002"/>
    <w:rsid w:val="008A1D69"/>
    <w:rsid w:val="008A61DD"/>
    <w:rsid w:val="008B417D"/>
    <w:rsid w:val="008D3D37"/>
    <w:rsid w:val="008E323C"/>
    <w:rsid w:val="008F002F"/>
    <w:rsid w:val="008F5E9E"/>
    <w:rsid w:val="00901A7C"/>
    <w:rsid w:val="00905CF3"/>
    <w:rsid w:val="00907854"/>
    <w:rsid w:val="00945A6D"/>
    <w:rsid w:val="0097090D"/>
    <w:rsid w:val="009734A1"/>
    <w:rsid w:val="00996F53"/>
    <w:rsid w:val="009A4581"/>
    <w:rsid w:val="009A4639"/>
    <w:rsid w:val="009A5A66"/>
    <w:rsid w:val="009B3FE1"/>
    <w:rsid w:val="009C14BB"/>
    <w:rsid w:val="009C35EC"/>
    <w:rsid w:val="009D5303"/>
    <w:rsid w:val="009E19A2"/>
    <w:rsid w:val="009E6AC3"/>
    <w:rsid w:val="00A05DE6"/>
    <w:rsid w:val="00A179ED"/>
    <w:rsid w:val="00A34780"/>
    <w:rsid w:val="00A42797"/>
    <w:rsid w:val="00A616C8"/>
    <w:rsid w:val="00A65362"/>
    <w:rsid w:val="00A757CA"/>
    <w:rsid w:val="00A9118D"/>
    <w:rsid w:val="00AA6251"/>
    <w:rsid w:val="00AA6DF6"/>
    <w:rsid w:val="00AB3FEB"/>
    <w:rsid w:val="00AC7A94"/>
    <w:rsid w:val="00AE1373"/>
    <w:rsid w:val="00B010B4"/>
    <w:rsid w:val="00B5368F"/>
    <w:rsid w:val="00B646A7"/>
    <w:rsid w:val="00B64AB9"/>
    <w:rsid w:val="00B856FB"/>
    <w:rsid w:val="00BA1F67"/>
    <w:rsid w:val="00BD006F"/>
    <w:rsid w:val="00BE3B5D"/>
    <w:rsid w:val="00C31D2A"/>
    <w:rsid w:val="00C3773E"/>
    <w:rsid w:val="00C557EC"/>
    <w:rsid w:val="00C74A39"/>
    <w:rsid w:val="00C74AEB"/>
    <w:rsid w:val="00C8251D"/>
    <w:rsid w:val="00CA0457"/>
    <w:rsid w:val="00CA528C"/>
    <w:rsid w:val="00CA76D7"/>
    <w:rsid w:val="00CD68F0"/>
    <w:rsid w:val="00CD76A6"/>
    <w:rsid w:val="00CF33DC"/>
    <w:rsid w:val="00CF71D9"/>
    <w:rsid w:val="00D02F57"/>
    <w:rsid w:val="00D13373"/>
    <w:rsid w:val="00D306CA"/>
    <w:rsid w:val="00D55230"/>
    <w:rsid w:val="00D61195"/>
    <w:rsid w:val="00D63848"/>
    <w:rsid w:val="00D65BD7"/>
    <w:rsid w:val="00D6668A"/>
    <w:rsid w:val="00D96DAE"/>
    <w:rsid w:val="00DB79A0"/>
    <w:rsid w:val="00DD681E"/>
    <w:rsid w:val="00DE60F7"/>
    <w:rsid w:val="00DE7318"/>
    <w:rsid w:val="00E048E0"/>
    <w:rsid w:val="00E11CA8"/>
    <w:rsid w:val="00E12C39"/>
    <w:rsid w:val="00E1552D"/>
    <w:rsid w:val="00E171EE"/>
    <w:rsid w:val="00E359D9"/>
    <w:rsid w:val="00E4227E"/>
    <w:rsid w:val="00E51F53"/>
    <w:rsid w:val="00E60C5B"/>
    <w:rsid w:val="00E71F30"/>
    <w:rsid w:val="00E82791"/>
    <w:rsid w:val="00E91D55"/>
    <w:rsid w:val="00E97ADD"/>
    <w:rsid w:val="00EA6857"/>
    <w:rsid w:val="00EB1623"/>
    <w:rsid w:val="00EB1687"/>
    <w:rsid w:val="00EC3D5B"/>
    <w:rsid w:val="00EC6825"/>
    <w:rsid w:val="00ED0FCC"/>
    <w:rsid w:val="00ED45FC"/>
    <w:rsid w:val="00ED53D7"/>
    <w:rsid w:val="00ED6E1F"/>
    <w:rsid w:val="00F020D4"/>
    <w:rsid w:val="00F13B69"/>
    <w:rsid w:val="00F25EB8"/>
    <w:rsid w:val="00F27AC7"/>
    <w:rsid w:val="00F57CCC"/>
    <w:rsid w:val="00F702C1"/>
    <w:rsid w:val="00FA6E25"/>
    <w:rsid w:val="00FC0DA4"/>
    <w:rsid w:val="00FC3E58"/>
    <w:rsid w:val="00FC464F"/>
    <w:rsid w:val="00FF22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94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1A6"/>
    <w:pPr>
      <w:spacing w:before="120" w:after="120"/>
    </w:pPr>
    <w:rPr>
      <w:rFonts w:ascii="Trebuchet MS" w:hAnsi="Trebuchet MS"/>
      <w:szCs w:val="24"/>
      <w:lang w:eastAsia="en-US"/>
    </w:rPr>
  </w:style>
  <w:style w:type="paragraph" w:styleId="Heading1">
    <w:name w:val="heading 1"/>
    <w:basedOn w:val="Normal"/>
    <w:next w:val="Normal"/>
    <w:link w:val="Heading1Char"/>
    <w:qFormat/>
    <w:rsid w:val="00461F4C"/>
    <w:pPr>
      <w:keepNext/>
      <w:numPr>
        <w:numId w:val="3"/>
      </w:numPr>
      <w:shd w:val="clear" w:color="auto" w:fill="D9D9D9"/>
      <w:spacing w:before="240" w:after="960"/>
      <w:outlineLvl w:val="0"/>
    </w:pPr>
    <w:rPr>
      <w:rFonts w:cs="Arial"/>
      <w:b/>
      <w:bCs/>
      <w:kern w:val="32"/>
      <w:sz w:val="28"/>
      <w:szCs w:val="32"/>
    </w:rPr>
  </w:style>
  <w:style w:type="paragraph" w:styleId="Heading2">
    <w:name w:val="heading 2"/>
    <w:aliases w:val="Nadpis_2,AB,Numbered - 2,Sub Heading,ignorer2,Heading 2 Char1,Heading 2 Char Char,Fejléc 2"/>
    <w:basedOn w:val="Normal"/>
    <w:next w:val="Normal"/>
    <w:link w:val="Heading2Char"/>
    <w:qFormat/>
    <w:rsid w:val="00461F4C"/>
    <w:pPr>
      <w:keepNext/>
      <w:numPr>
        <w:ilvl w:val="1"/>
        <w:numId w:val="3"/>
      </w:numPr>
      <w:spacing w:before="240" w:after="60"/>
      <w:outlineLvl w:val="1"/>
    </w:pPr>
    <w:rPr>
      <w:rFonts w:cs="Arial"/>
      <w:b/>
      <w:bCs/>
      <w:sz w:val="24"/>
      <w:szCs w:val="28"/>
    </w:rPr>
  </w:style>
  <w:style w:type="paragraph" w:styleId="Heading3">
    <w:name w:val="heading 3"/>
    <w:aliases w:val="Podpodkapitola,adpis 3,KopCat. 3,Numbered - 3"/>
    <w:basedOn w:val="Normal"/>
    <w:next w:val="Normal"/>
    <w:link w:val="Heading3Char"/>
    <w:qFormat/>
    <w:rsid w:val="00461F4C"/>
    <w:pPr>
      <w:keepNext/>
      <w:numPr>
        <w:ilvl w:val="2"/>
        <w:numId w:val="3"/>
      </w:numPr>
      <w:spacing w:before="240" w:after="60"/>
      <w:outlineLvl w:val="2"/>
    </w:pPr>
    <w:rPr>
      <w:rFonts w:cs="Arial"/>
      <w:b/>
      <w:bCs/>
      <w:szCs w:val="26"/>
    </w:rPr>
  </w:style>
  <w:style w:type="paragraph" w:styleId="Heading4">
    <w:name w:val="heading 4"/>
    <w:basedOn w:val="Normal"/>
    <w:next w:val="Normal"/>
    <w:link w:val="Heading4Char"/>
    <w:qFormat/>
    <w:rsid w:val="00461F4C"/>
    <w:pPr>
      <w:keepNext/>
      <w:spacing w:before="240" w:after="60"/>
      <w:outlineLvl w:val="3"/>
    </w:pPr>
    <w:rPr>
      <w:rFonts w:cs="Arial"/>
      <w:b/>
      <w:bCs/>
      <w:szCs w:val="28"/>
    </w:rPr>
  </w:style>
  <w:style w:type="paragraph" w:styleId="Heading5">
    <w:name w:val="heading 5"/>
    <w:basedOn w:val="Normal"/>
    <w:next w:val="Normal"/>
    <w:link w:val="Heading5Char"/>
    <w:qFormat/>
    <w:rsid w:val="00461F4C"/>
    <w:pPr>
      <w:keepNext/>
      <w:spacing w:before="0" w:after="0"/>
      <w:jc w:val="right"/>
      <w:outlineLvl w:val="4"/>
    </w:pPr>
    <w:rPr>
      <w:b/>
      <w:bCs/>
    </w:rPr>
  </w:style>
  <w:style w:type="paragraph" w:styleId="Heading6">
    <w:name w:val="heading 6"/>
    <w:basedOn w:val="Normal"/>
    <w:next w:val="Normal"/>
    <w:link w:val="Heading6Char"/>
    <w:qFormat/>
    <w:rsid w:val="00461F4C"/>
    <w:pPr>
      <w:keepNext/>
      <w:jc w:val="right"/>
      <w:outlineLvl w:val="5"/>
    </w:pPr>
    <w:rPr>
      <w:rFonts w:cs="Arial"/>
      <w:b/>
      <w:caps/>
      <w:color w:val="003366"/>
      <w:spacing w:val="-22"/>
      <w:sz w:val="36"/>
    </w:rPr>
  </w:style>
  <w:style w:type="paragraph" w:styleId="Heading7">
    <w:name w:val="heading 7"/>
    <w:basedOn w:val="Normal"/>
    <w:next w:val="Normal"/>
    <w:link w:val="Heading7Char"/>
    <w:qFormat/>
    <w:rsid w:val="00461F4C"/>
    <w:pPr>
      <w:keepNext/>
      <w:jc w:val="center"/>
      <w:outlineLvl w:val="6"/>
    </w:pPr>
    <w:rPr>
      <w:sz w:val="24"/>
    </w:rPr>
  </w:style>
  <w:style w:type="paragraph" w:styleId="Heading8">
    <w:name w:val="heading 8"/>
    <w:basedOn w:val="Normal"/>
    <w:next w:val="Normal"/>
    <w:link w:val="Heading8Char"/>
    <w:qFormat/>
    <w:rsid w:val="00461F4C"/>
    <w:pPr>
      <w:keepNext/>
      <w:spacing w:before="0" w:after="0"/>
      <w:jc w:val="right"/>
      <w:outlineLvl w:val="7"/>
    </w:pPr>
    <w:rPr>
      <w:b/>
      <w:caps/>
      <w:sz w:val="32"/>
    </w:rPr>
  </w:style>
  <w:style w:type="paragraph" w:styleId="Heading9">
    <w:name w:val="heading 9"/>
    <w:basedOn w:val="Normal"/>
    <w:next w:val="Normal"/>
    <w:link w:val="Heading9Char"/>
    <w:qFormat/>
    <w:rsid w:val="00461F4C"/>
    <w:pPr>
      <w:keepNext/>
      <w:spacing w:before="40" w:after="4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1F4C"/>
    <w:rPr>
      <w:rFonts w:ascii="Trebuchet MS" w:hAnsi="Trebuchet MS" w:cs="Arial"/>
      <w:b/>
      <w:bCs/>
      <w:kern w:val="32"/>
      <w:sz w:val="28"/>
      <w:szCs w:val="32"/>
      <w:shd w:val="clear" w:color="auto" w:fill="D9D9D9"/>
      <w:lang w:eastAsia="en-US"/>
    </w:rPr>
  </w:style>
  <w:style w:type="character" w:customStyle="1" w:styleId="Heading2Char">
    <w:name w:val="Heading 2 Char"/>
    <w:aliases w:val="Nadpis_2 Char,AB Char,Numbered - 2 Char,Sub Heading Char,ignorer2 Char,Heading 2 Char1 Char,Heading 2 Char Char Char,Fejléc 2 Char"/>
    <w:basedOn w:val="DefaultParagraphFont"/>
    <w:link w:val="Heading2"/>
    <w:rsid w:val="00461F4C"/>
    <w:rPr>
      <w:rFonts w:ascii="Trebuchet MS" w:hAnsi="Trebuchet MS" w:cs="Arial"/>
      <w:b/>
      <w:bCs/>
      <w:sz w:val="24"/>
      <w:szCs w:val="28"/>
      <w:lang w:eastAsia="en-US"/>
    </w:rPr>
  </w:style>
  <w:style w:type="character" w:customStyle="1" w:styleId="Heading3Char">
    <w:name w:val="Heading 3 Char"/>
    <w:aliases w:val="Podpodkapitola Char,adpis 3 Char,KopCat. 3 Char,Numbered - 3 Char"/>
    <w:basedOn w:val="DefaultParagraphFont"/>
    <w:link w:val="Heading3"/>
    <w:rsid w:val="00461F4C"/>
    <w:rPr>
      <w:rFonts w:ascii="Trebuchet MS" w:hAnsi="Trebuchet MS" w:cs="Arial"/>
      <w:b/>
      <w:bCs/>
      <w:szCs w:val="26"/>
      <w:lang w:eastAsia="en-US"/>
    </w:rPr>
  </w:style>
  <w:style w:type="character" w:customStyle="1" w:styleId="Heading4Char">
    <w:name w:val="Heading 4 Char"/>
    <w:basedOn w:val="DefaultParagraphFont"/>
    <w:link w:val="Heading4"/>
    <w:rsid w:val="00461F4C"/>
    <w:rPr>
      <w:rFonts w:ascii="Trebuchet MS" w:hAnsi="Trebuchet MS" w:cs="Arial"/>
      <w:b/>
      <w:bCs/>
      <w:szCs w:val="28"/>
      <w:lang w:eastAsia="en-US"/>
    </w:rPr>
  </w:style>
  <w:style w:type="character" w:customStyle="1" w:styleId="Heading5Char">
    <w:name w:val="Heading 5 Char"/>
    <w:basedOn w:val="DefaultParagraphFont"/>
    <w:link w:val="Heading5"/>
    <w:rsid w:val="00461F4C"/>
    <w:rPr>
      <w:rFonts w:ascii="Trebuchet MS" w:hAnsi="Trebuchet MS"/>
      <w:b/>
      <w:bCs/>
      <w:szCs w:val="24"/>
      <w:lang w:eastAsia="en-US"/>
    </w:rPr>
  </w:style>
  <w:style w:type="character" w:customStyle="1" w:styleId="Heading6Char">
    <w:name w:val="Heading 6 Char"/>
    <w:basedOn w:val="DefaultParagraphFont"/>
    <w:link w:val="Heading6"/>
    <w:rsid w:val="00461F4C"/>
    <w:rPr>
      <w:rFonts w:ascii="Trebuchet MS" w:hAnsi="Trebuchet MS" w:cs="Arial"/>
      <w:b/>
      <w:caps/>
      <w:color w:val="003366"/>
      <w:spacing w:val="-22"/>
      <w:sz w:val="36"/>
      <w:szCs w:val="24"/>
      <w:lang w:eastAsia="en-US"/>
    </w:rPr>
  </w:style>
  <w:style w:type="character" w:customStyle="1" w:styleId="Heading7Char">
    <w:name w:val="Heading 7 Char"/>
    <w:basedOn w:val="DefaultParagraphFont"/>
    <w:link w:val="Heading7"/>
    <w:rsid w:val="00461F4C"/>
    <w:rPr>
      <w:rFonts w:ascii="Trebuchet MS" w:hAnsi="Trebuchet MS"/>
      <w:sz w:val="24"/>
      <w:szCs w:val="24"/>
      <w:lang w:eastAsia="en-US"/>
    </w:rPr>
  </w:style>
  <w:style w:type="character" w:customStyle="1" w:styleId="Heading8Char">
    <w:name w:val="Heading 8 Char"/>
    <w:basedOn w:val="DefaultParagraphFont"/>
    <w:link w:val="Heading8"/>
    <w:rsid w:val="00461F4C"/>
    <w:rPr>
      <w:rFonts w:ascii="Trebuchet MS" w:hAnsi="Trebuchet MS"/>
      <w:b/>
      <w:caps/>
      <w:sz w:val="32"/>
      <w:szCs w:val="24"/>
      <w:lang w:eastAsia="en-US"/>
    </w:rPr>
  </w:style>
  <w:style w:type="character" w:customStyle="1" w:styleId="Heading9Char">
    <w:name w:val="Heading 9 Char"/>
    <w:basedOn w:val="DefaultParagraphFont"/>
    <w:link w:val="Heading9"/>
    <w:rsid w:val="00461F4C"/>
    <w:rPr>
      <w:rFonts w:ascii="Trebuchet MS" w:hAnsi="Trebuchet MS"/>
      <w:b/>
      <w:bCs/>
      <w:szCs w:val="24"/>
      <w:lang w:eastAsia="en-US"/>
    </w:rPr>
  </w:style>
  <w:style w:type="paragraph" w:styleId="TOC1">
    <w:name w:val="toc 1"/>
    <w:basedOn w:val="Normal"/>
    <w:next w:val="Normal"/>
    <w:autoRedefine/>
    <w:uiPriority w:val="39"/>
    <w:qFormat/>
    <w:rsid w:val="00461F4C"/>
    <w:pPr>
      <w:spacing w:before="60" w:after="0"/>
      <w:jc w:val="both"/>
    </w:pPr>
    <w:rPr>
      <w:rFonts w:ascii="Arial (W1)" w:hAnsi="Arial (W1)"/>
      <w:b/>
    </w:rPr>
  </w:style>
  <w:style w:type="paragraph" w:styleId="TOC2">
    <w:name w:val="toc 2"/>
    <w:basedOn w:val="Normal"/>
    <w:next w:val="Normal"/>
    <w:autoRedefine/>
    <w:uiPriority w:val="39"/>
    <w:qFormat/>
    <w:rsid w:val="00461F4C"/>
    <w:pPr>
      <w:spacing w:before="0" w:after="0"/>
      <w:ind w:left="202"/>
    </w:pPr>
  </w:style>
  <w:style w:type="paragraph" w:styleId="TOC3">
    <w:name w:val="toc 3"/>
    <w:basedOn w:val="Normal"/>
    <w:next w:val="Normal"/>
    <w:autoRedefine/>
    <w:uiPriority w:val="39"/>
    <w:qFormat/>
    <w:rsid w:val="00461F4C"/>
    <w:pPr>
      <w:spacing w:before="0" w:after="0"/>
      <w:ind w:left="403"/>
    </w:pPr>
  </w:style>
  <w:style w:type="character" w:styleId="Emphasis">
    <w:name w:val="Emphasis"/>
    <w:uiPriority w:val="20"/>
    <w:qFormat/>
    <w:rsid w:val="00461F4C"/>
    <w:rPr>
      <w:i/>
      <w:iCs/>
    </w:rPr>
  </w:style>
  <w:style w:type="paragraph" w:styleId="NoSpacing">
    <w:name w:val="No Spacing"/>
    <w:uiPriority w:val="1"/>
    <w:qFormat/>
    <w:rsid w:val="00461F4C"/>
    <w:rPr>
      <w:rFonts w:ascii="Trebuchet MS" w:hAnsi="Trebuchet MS"/>
      <w:szCs w:val="24"/>
      <w:lang w:eastAsia="en-US"/>
    </w:rPr>
  </w:style>
  <w:style w:type="paragraph" w:styleId="ListParagraph">
    <w:name w:val="List Paragraph"/>
    <w:basedOn w:val="Normal"/>
    <w:link w:val="ListParagraphChar"/>
    <w:uiPriority w:val="34"/>
    <w:qFormat/>
    <w:rsid w:val="00461F4C"/>
    <w:pPr>
      <w:spacing w:before="0" w:after="240"/>
      <w:ind w:left="720"/>
      <w:jc w:val="both"/>
    </w:pPr>
    <w:rPr>
      <w:rFonts w:ascii="Times New Roman" w:hAnsi="Times New Roman"/>
      <w:sz w:val="24"/>
      <w:szCs w:val="20"/>
      <w:lang w:eastAsia="ro-RO"/>
    </w:rPr>
  </w:style>
  <w:style w:type="character" w:customStyle="1" w:styleId="ListParagraphChar">
    <w:name w:val="List Paragraph Char"/>
    <w:link w:val="ListParagraph"/>
    <w:uiPriority w:val="34"/>
    <w:locked/>
    <w:rsid w:val="00461F4C"/>
    <w:rPr>
      <w:sz w:val="24"/>
    </w:rPr>
  </w:style>
  <w:style w:type="paragraph" w:styleId="TOCHeading">
    <w:name w:val="TOC Heading"/>
    <w:basedOn w:val="Heading1"/>
    <w:next w:val="Normal"/>
    <w:uiPriority w:val="39"/>
    <w:semiHidden/>
    <w:unhideWhenUsed/>
    <w:qFormat/>
    <w:rsid w:val="00461F4C"/>
    <w:pPr>
      <w:keepLines/>
      <w:numPr>
        <w:numId w:val="0"/>
      </w:numPr>
      <w:shd w:val="clear" w:color="auto" w:fill="auto"/>
      <w:spacing w:before="480" w:after="0" w:line="276" w:lineRule="auto"/>
      <w:outlineLvl w:val="9"/>
    </w:pPr>
    <w:rPr>
      <w:rFonts w:ascii="Cambria" w:eastAsia="MS Gothic" w:hAnsi="Cambria" w:cs="Times New Roman"/>
      <w:color w:val="365F91"/>
      <w:kern w:val="0"/>
      <w:szCs w:val="28"/>
      <w:lang w:val="en-US" w:eastAsia="ja-JP"/>
    </w:rPr>
  </w:style>
  <w:style w:type="paragraph" w:customStyle="1" w:styleId="Normal1">
    <w:name w:val="Normal1"/>
    <w:basedOn w:val="Normal"/>
    <w:rsid w:val="007151A6"/>
    <w:pPr>
      <w:spacing w:before="60" w:after="60"/>
      <w:jc w:val="both"/>
    </w:p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semiHidden/>
    <w:rsid w:val="007151A6"/>
    <w:pPr>
      <w:spacing w:before="0" w:after="0"/>
    </w:pPr>
    <w:rPr>
      <w:sz w:val="16"/>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semiHidden/>
    <w:rsid w:val="007151A6"/>
    <w:rPr>
      <w:rFonts w:ascii="Trebuchet MS" w:hAnsi="Trebuchet MS"/>
      <w:sz w:val="16"/>
      <w:lang w:eastAsia="en-US"/>
    </w:rPr>
  </w:style>
  <w:style w:type="character" w:styleId="FootnoteReference">
    <w:name w:val="footnote reference"/>
    <w:aliases w:val="Footnote symbol"/>
    <w:semiHidden/>
    <w:rsid w:val="007151A6"/>
    <w:rPr>
      <w:vertAlign w:val="superscript"/>
    </w:rPr>
  </w:style>
  <w:style w:type="character" w:styleId="Hyperlink">
    <w:name w:val="Hyperlink"/>
    <w:rsid w:val="007151A6"/>
    <w:rPr>
      <w:color w:val="0000FF"/>
      <w:u w:val="single"/>
    </w:rPr>
  </w:style>
  <w:style w:type="paragraph" w:customStyle="1" w:styleId="bullet1">
    <w:name w:val="bullet1"/>
    <w:basedOn w:val="Normal"/>
    <w:rsid w:val="007151A6"/>
    <w:pPr>
      <w:numPr>
        <w:numId w:val="4"/>
      </w:numPr>
      <w:spacing w:before="40" w:after="40"/>
    </w:pPr>
  </w:style>
  <w:style w:type="character" w:customStyle="1" w:styleId="rvts7">
    <w:name w:val="rvts7"/>
    <w:basedOn w:val="DefaultParagraphFont"/>
    <w:rsid w:val="007151A6"/>
  </w:style>
  <w:style w:type="character" w:customStyle="1" w:styleId="rvts3">
    <w:name w:val="rvts3"/>
    <w:basedOn w:val="DefaultParagraphFont"/>
    <w:rsid w:val="007151A6"/>
  </w:style>
  <w:style w:type="character" w:customStyle="1" w:styleId="ln2tlitera">
    <w:name w:val="ln2tlitera"/>
    <w:basedOn w:val="DefaultParagraphFont"/>
    <w:rsid w:val="007151A6"/>
  </w:style>
  <w:style w:type="character" w:customStyle="1" w:styleId="ln2talineat">
    <w:name w:val="ln2talineat"/>
    <w:basedOn w:val="DefaultParagraphFont"/>
    <w:rsid w:val="007151A6"/>
  </w:style>
  <w:style w:type="paragraph" w:customStyle="1" w:styleId="CM1">
    <w:name w:val="CM1"/>
    <w:basedOn w:val="Normal"/>
    <w:next w:val="Normal"/>
    <w:uiPriority w:val="99"/>
    <w:rsid w:val="00C8251D"/>
    <w:pPr>
      <w:autoSpaceDE w:val="0"/>
      <w:autoSpaceDN w:val="0"/>
      <w:adjustRightInd w:val="0"/>
      <w:spacing w:before="0" w:after="0"/>
    </w:pPr>
    <w:rPr>
      <w:rFonts w:ascii="EUAlbertina" w:hAnsi="EUAlbertina"/>
      <w:sz w:val="24"/>
      <w:lang w:eastAsia="ro-RO"/>
    </w:rPr>
  </w:style>
  <w:style w:type="paragraph" w:customStyle="1" w:styleId="CM3">
    <w:name w:val="CM3"/>
    <w:basedOn w:val="Normal"/>
    <w:next w:val="Normal"/>
    <w:uiPriority w:val="99"/>
    <w:rsid w:val="00C8251D"/>
    <w:pPr>
      <w:autoSpaceDE w:val="0"/>
      <w:autoSpaceDN w:val="0"/>
      <w:adjustRightInd w:val="0"/>
      <w:spacing w:before="0" w:after="0"/>
    </w:pPr>
    <w:rPr>
      <w:rFonts w:ascii="EUAlbertina" w:hAnsi="EUAlbertina"/>
      <w:sz w:val="24"/>
      <w:lang w:eastAsia="ro-RO"/>
    </w:rPr>
  </w:style>
  <w:style w:type="character" w:customStyle="1" w:styleId="rvts9">
    <w:name w:val="rvts9"/>
    <w:basedOn w:val="DefaultParagraphFont"/>
    <w:rsid w:val="00EC3D5B"/>
  </w:style>
  <w:style w:type="character" w:customStyle="1" w:styleId="rvts6">
    <w:name w:val="rvts6"/>
    <w:basedOn w:val="DefaultParagraphFont"/>
    <w:rsid w:val="00EC3D5B"/>
  </w:style>
  <w:style w:type="paragraph" w:customStyle="1" w:styleId="marked">
    <w:name w:val="marked"/>
    <w:basedOn w:val="Normal"/>
    <w:rsid w:val="00EC3D5B"/>
    <w:pPr>
      <w:pBdr>
        <w:left w:val="single" w:sz="4" w:space="4" w:color="808080"/>
      </w:pBdr>
      <w:spacing w:before="60" w:after="60"/>
      <w:ind w:left="1620"/>
      <w:jc w:val="both"/>
    </w:pPr>
  </w:style>
  <w:style w:type="character" w:customStyle="1" w:styleId="rvts5">
    <w:name w:val="rvts5"/>
    <w:basedOn w:val="DefaultParagraphFont"/>
    <w:rsid w:val="00EC3D5B"/>
  </w:style>
  <w:style w:type="paragraph" w:styleId="NormalWeb">
    <w:name w:val="Normal (Web)"/>
    <w:basedOn w:val="Normal"/>
    <w:unhideWhenUsed/>
    <w:rsid w:val="00EC3D5B"/>
    <w:pPr>
      <w:spacing w:before="0" w:after="0"/>
    </w:pPr>
    <w:rPr>
      <w:rFonts w:ascii="Arial Unicode MS" w:hAnsi="Arial Unicode MS"/>
      <w:sz w:val="24"/>
      <w:lang w:val="en-US"/>
    </w:rPr>
  </w:style>
  <w:style w:type="paragraph" w:styleId="CommentText">
    <w:name w:val="annotation text"/>
    <w:basedOn w:val="Normal"/>
    <w:link w:val="CommentTextChar"/>
    <w:unhideWhenUsed/>
    <w:rsid w:val="00EC3D5B"/>
    <w:rPr>
      <w:szCs w:val="20"/>
    </w:rPr>
  </w:style>
  <w:style w:type="character" w:customStyle="1" w:styleId="CommentTextChar">
    <w:name w:val="Comment Text Char"/>
    <w:basedOn w:val="DefaultParagraphFont"/>
    <w:link w:val="CommentText"/>
    <w:rsid w:val="00EC3D5B"/>
    <w:rPr>
      <w:rFonts w:ascii="Trebuchet MS" w:hAnsi="Trebuchet MS"/>
      <w:lang w:eastAsia="en-US"/>
    </w:rPr>
  </w:style>
  <w:style w:type="paragraph" w:customStyle="1" w:styleId="numbers">
    <w:name w:val="numbers"/>
    <w:basedOn w:val="Normal"/>
    <w:semiHidden/>
    <w:rsid w:val="00EC3D5B"/>
    <w:pPr>
      <w:tabs>
        <w:tab w:val="num" w:pos="360"/>
      </w:tabs>
      <w:spacing w:before="0" w:after="0"/>
    </w:pPr>
    <w:rPr>
      <w:rFonts w:ascii="Times New Roman" w:hAnsi="Times New Roman"/>
      <w:sz w:val="24"/>
      <w:szCs w:val="20"/>
      <w:lang w:eastAsia="ro-RO"/>
    </w:rPr>
  </w:style>
  <w:style w:type="character" w:customStyle="1" w:styleId="def">
    <w:name w:val="def"/>
    <w:basedOn w:val="DefaultParagraphFont"/>
    <w:rsid w:val="00EC3D5B"/>
  </w:style>
  <w:style w:type="character" w:customStyle="1" w:styleId="rvts10">
    <w:name w:val="rvts10"/>
    <w:basedOn w:val="DefaultParagraphFont"/>
    <w:rsid w:val="00EC3D5B"/>
  </w:style>
  <w:style w:type="character" w:customStyle="1" w:styleId="rvts12">
    <w:name w:val="rvts12"/>
    <w:basedOn w:val="DefaultParagraphFont"/>
    <w:rsid w:val="00EC3D5B"/>
  </w:style>
  <w:style w:type="character" w:customStyle="1" w:styleId="style11">
    <w:name w:val="style11"/>
    <w:basedOn w:val="DefaultParagraphFont"/>
    <w:rsid w:val="00EC3D5B"/>
    <w:rPr>
      <w:rFonts w:ascii="Verdana" w:hAnsi="Verdana" w:hint="default"/>
      <w:sz w:val="18"/>
      <w:szCs w:val="18"/>
    </w:rPr>
  </w:style>
  <w:style w:type="character" w:styleId="CommentReference">
    <w:name w:val="annotation reference"/>
    <w:basedOn w:val="DefaultParagraphFont"/>
    <w:uiPriority w:val="99"/>
    <w:semiHidden/>
    <w:unhideWhenUsed/>
    <w:rsid w:val="00F27AC7"/>
    <w:rPr>
      <w:sz w:val="16"/>
      <w:szCs w:val="16"/>
    </w:rPr>
  </w:style>
  <w:style w:type="paragraph" w:styleId="CommentSubject">
    <w:name w:val="annotation subject"/>
    <w:basedOn w:val="CommentText"/>
    <w:next w:val="CommentText"/>
    <w:link w:val="CommentSubjectChar"/>
    <w:uiPriority w:val="99"/>
    <w:semiHidden/>
    <w:unhideWhenUsed/>
    <w:rsid w:val="00F27AC7"/>
    <w:rPr>
      <w:b/>
      <w:bCs/>
    </w:rPr>
  </w:style>
  <w:style w:type="character" w:customStyle="1" w:styleId="CommentSubjectChar">
    <w:name w:val="Comment Subject Char"/>
    <w:basedOn w:val="CommentTextChar"/>
    <w:link w:val="CommentSubject"/>
    <w:uiPriority w:val="99"/>
    <w:semiHidden/>
    <w:rsid w:val="00F27AC7"/>
    <w:rPr>
      <w:rFonts w:ascii="Trebuchet MS" w:hAnsi="Trebuchet MS"/>
      <w:b/>
      <w:bCs/>
      <w:lang w:eastAsia="en-US"/>
    </w:rPr>
  </w:style>
  <w:style w:type="paragraph" w:styleId="BalloonText">
    <w:name w:val="Balloon Text"/>
    <w:basedOn w:val="Normal"/>
    <w:link w:val="BalloonTextChar"/>
    <w:uiPriority w:val="99"/>
    <w:semiHidden/>
    <w:unhideWhenUsed/>
    <w:rsid w:val="00F27AC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C7"/>
    <w:rPr>
      <w:rFonts w:ascii="Tahoma" w:hAnsi="Tahoma" w:cs="Tahoma"/>
      <w:sz w:val="16"/>
      <w:szCs w:val="16"/>
      <w:lang w:eastAsia="en-US"/>
    </w:rPr>
  </w:style>
  <w:style w:type="paragraph" w:styleId="Header">
    <w:name w:val="header"/>
    <w:basedOn w:val="Normal"/>
    <w:link w:val="HeaderChar"/>
    <w:uiPriority w:val="99"/>
    <w:unhideWhenUsed/>
    <w:rsid w:val="00A616C8"/>
    <w:pPr>
      <w:tabs>
        <w:tab w:val="center" w:pos="4536"/>
        <w:tab w:val="right" w:pos="9072"/>
      </w:tabs>
      <w:spacing w:before="0" w:after="0"/>
    </w:pPr>
  </w:style>
  <w:style w:type="character" w:customStyle="1" w:styleId="HeaderChar">
    <w:name w:val="Header Char"/>
    <w:basedOn w:val="DefaultParagraphFont"/>
    <w:link w:val="Header"/>
    <w:uiPriority w:val="99"/>
    <w:rsid w:val="00A616C8"/>
    <w:rPr>
      <w:rFonts w:ascii="Trebuchet MS" w:hAnsi="Trebuchet MS"/>
      <w:szCs w:val="24"/>
      <w:lang w:eastAsia="en-US"/>
    </w:rPr>
  </w:style>
  <w:style w:type="paragraph" w:styleId="Footer">
    <w:name w:val="footer"/>
    <w:basedOn w:val="Normal"/>
    <w:link w:val="FooterChar"/>
    <w:uiPriority w:val="99"/>
    <w:unhideWhenUsed/>
    <w:rsid w:val="00A616C8"/>
    <w:pPr>
      <w:tabs>
        <w:tab w:val="center" w:pos="4536"/>
        <w:tab w:val="right" w:pos="9072"/>
      </w:tabs>
      <w:spacing w:before="0" w:after="0"/>
    </w:pPr>
  </w:style>
  <w:style w:type="character" w:customStyle="1" w:styleId="FooterChar">
    <w:name w:val="Footer Char"/>
    <w:basedOn w:val="DefaultParagraphFont"/>
    <w:link w:val="Footer"/>
    <w:uiPriority w:val="99"/>
    <w:rsid w:val="00A616C8"/>
    <w:rPr>
      <w:rFonts w:ascii="Trebuchet MS" w:hAnsi="Trebuchet MS"/>
      <w:szCs w:val="24"/>
      <w:lang w:eastAsia="en-US"/>
    </w:rPr>
  </w:style>
  <w:style w:type="paragraph" w:customStyle="1" w:styleId="alignmentl">
    <w:name w:val="alignment_l"/>
    <w:basedOn w:val="Normal"/>
    <w:rsid w:val="004978B1"/>
    <w:pPr>
      <w:spacing w:before="100" w:beforeAutospacing="1" w:after="100" w:afterAutospacing="1"/>
    </w:pPr>
    <w:rPr>
      <w:rFonts w:ascii="Times New Roman" w:hAnsi="Times New Roman"/>
      <w:sz w:val="24"/>
      <w:lang w:val="en-US"/>
    </w:rPr>
  </w:style>
  <w:style w:type="paragraph" w:customStyle="1" w:styleId="CM4">
    <w:name w:val="CM4"/>
    <w:basedOn w:val="Normal"/>
    <w:next w:val="Normal"/>
    <w:uiPriority w:val="99"/>
    <w:rsid w:val="00ED6E1F"/>
    <w:pPr>
      <w:autoSpaceDE w:val="0"/>
      <w:autoSpaceDN w:val="0"/>
      <w:adjustRightInd w:val="0"/>
      <w:spacing w:before="0" w:after="0"/>
    </w:pPr>
    <w:rPr>
      <w:rFonts w:ascii="EUAlbertina" w:hAnsi="EUAlbertina"/>
      <w:sz w:val="24"/>
      <w:lang w:eastAsia="ro-RO"/>
    </w:rPr>
  </w:style>
  <w:style w:type="paragraph" w:styleId="Revision">
    <w:name w:val="Revision"/>
    <w:hidden/>
    <w:uiPriority w:val="99"/>
    <w:semiHidden/>
    <w:rsid w:val="000A426B"/>
    <w:rPr>
      <w:rFonts w:ascii="Trebuchet MS" w:hAnsi="Trebuchet M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1A6"/>
    <w:pPr>
      <w:spacing w:before="120" w:after="120"/>
    </w:pPr>
    <w:rPr>
      <w:rFonts w:ascii="Trebuchet MS" w:hAnsi="Trebuchet MS"/>
      <w:szCs w:val="24"/>
      <w:lang w:eastAsia="en-US"/>
    </w:rPr>
  </w:style>
  <w:style w:type="paragraph" w:styleId="Heading1">
    <w:name w:val="heading 1"/>
    <w:basedOn w:val="Normal"/>
    <w:next w:val="Normal"/>
    <w:link w:val="Heading1Char"/>
    <w:qFormat/>
    <w:rsid w:val="00461F4C"/>
    <w:pPr>
      <w:keepNext/>
      <w:numPr>
        <w:numId w:val="3"/>
      </w:numPr>
      <w:shd w:val="clear" w:color="auto" w:fill="D9D9D9"/>
      <w:spacing w:before="240" w:after="960"/>
      <w:outlineLvl w:val="0"/>
    </w:pPr>
    <w:rPr>
      <w:rFonts w:cs="Arial"/>
      <w:b/>
      <w:bCs/>
      <w:kern w:val="32"/>
      <w:sz w:val="28"/>
      <w:szCs w:val="32"/>
    </w:rPr>
  </w:style>
  <w:style w:type="paragraph" w:styleId="Heading2">
    <w:name w:val="heading 2"/>
    <w:aliases w:val="Nadpis_2,AB,Numbered - 2,Sub Heading,ignorer2,Heading 2 Char1,Heading 2 Char Char,Fejléc 2"/>
    <w:basedOn w:val="Normal"/>
    <w:next w:val="Normal"/>
    <w:link w:val="Heading2Char"/>
    <w:qFormat/>
    <w:rsid w:val="00461F4C"/>
    <w:pPr>
      <w:keepNext/>
      <w:numPr>
        <w:ilvl w:val="1"/>
        <w:numId w:val="3"/>
      </w:numPr>
      <w:spacing w:before="240" w:after="60"/>
      <w:outlineLvl w:val="1"/>
    </w:pPr>
    <w:rPr>
      <w:rFonts w:cs="Arial"/>
      <w:b/>
      <w:bCs/>
      <w:sz w:val="24"/>
      <w:szCs w:val="28"/>
    </w:rPr>
  </w:style>
  <w:style w:type="paragraph" w:styleId="Heading3">
    <w:name w:val="heading 3"/>
    <w:aliases w:val="Podpodkapitola,adpis 3,KopCat. 3,Numbered - 3"/>
    <w:basedOn w:val="Normal"/>
    <w:next w:val="Normal"/>
    <w:link w:val="Heading3Char"/>
    <w:qFormat/>
    <w:rsid w:val="00461F4C"/>
    <w:pPr>
      <w:keepNext/>
      <w:numPr>
        <w:ilvl w:val="2"/>
        <w:numId w:val="3"/>
      </w:numPr>
      <w:spacing w:before="240" w:after="60"/>
      <w:outlineLvl w:val="2"/>
    </w:pPr>
    <w:rPr>
      <w:rFonts w:cs="Arial"/>
      <w:b/>
      <w:bCs/>
      <w:szCs w:val="26"/>
    </w:rPr>
  </w:style>
  <w:style w:type="paragraph" w:styleId="Heading4">
    <w:name w:val="heading 4"/>
    <w:basedOn w:val="Normal"/>
    <w:next w:val="Normal"/>
    <w:link w:val="Heading4Char"/>
    <w:qFormat/>
    <w:rsid w:val="00461F4C"/>
    <w:pPr>
      <w:keepNext/>
      <w:spacing w:before="240" w:after="60"/>
      <w:outlineLvl w:val="3"/>
    </w:pPr>
    <w:rPr>
      <w:rFonts w:cs="Arial"/>
      <w:b/>
      <w:bCs/>
      <w:szCs w:val="28"/>
    </w:rPr>
  </w:style>
  <w:style w:type="paragraph" w:styleId="Heading5">
    <w:name w:val="heading 5"/>
    <w:basedOn w:val="Normal"/>
    <w:next w:val="Normal"/>
    <w:link w:val="Heading5Char"/>
    <w:qFormat/>
    <w:rsid w:val="00461F4C"/>
    <w:pPr>
      <w:keepNext/>
      <w:spacing w:before="0" w:after="0"/>
      <w:jc w:val="right"/>
      <w:outlineLvl w:val="4"/>
    </w:pPr>
    <w:rPr>
      <w:b/>
      <w:bCs/>
    </w:rPr>
  </w:style>
  <w:style w:type="paragraph" w:styleId="Heading6">
    <w:name w:val="heading 6"/>
    <w:basedOn w:val="Normal"/>
    <w:next w:val="Normal"/>
    <w:link w:val="Heading6Char"/>
    <w:qFormat/>
    <w:rsid w:val="00461F4C"/>
    <w:pPr>
      <w:keepNext/>
      <w:jc w:val="right"/>
      <w:outlineLvl w:val="5"/>
    </w:pPr>
    <w:rPr>
      <w:rFonts w:cs="Arial"/>
      <w:b/>
      <w:caps/>
      <w:color w:val="003366"/>
      <w:spacing w:val="-22"/>
      <w:sz w:val="36"/>
    </w:rPr>
  </w:style>
  <w:style w:type="paragraph" w:styleId="Heading7">
    <w:name w:val="heading 7"/>
    <w:basedOn w:val="Normal"/>
    <w:next w:val="Normal"/>
    <w:link w:val="Heading7Char"/>
    <w:qFormat/>
    <w:rsid w:val="00461F4C"/>
    <w:pPr>
      <w:keepNext/>
      <w:jc w:val="center"/>
      <w:outlineLvl w:val="6"/>
    </w:pPr>
    <w:rPr>
      <w:sz w:val="24"/>
    </w:rPr>
  </w:style>
  <w:style w:type="paragraph" w:styleId="Heading8">
    <w:name w:val="heading 8"/>
    <w:basedOn w:val="Normal"/>
    <w:next w:val="Normal"/>
    <w:link w:val="Heading8Char"/>
    <w:qFormat/>
    <w:rsid w:val="00461F4C"/>
    <w:pPr>
      <w:keepNext/>
      <w:spacing w:before="0" w:after="0"/>
      <w:jc w:val="right"/>
      <w:outlineLvl w:val="7"/>
    </w:pPr>
    <w:rPr>
      <w:b/>
      <w:caps/>
      <w:sz w:val="32"/>
    </w:rPr>
  </w:style>
  <w:style w:type="paragraph" w:styleId="Heading9">
    <w:name w:val="heading 9"/>
    <w:basedOn w:val="Normal"/>
    <w:next w:val="Normal"/>
    <w:link w:val="Heading9Char"/>
    <w:qFormat/>
    <w:rsid w:val="00461F4C"/>
    <w:pPr>
      <w:keepNext/>
      <w:spacing w:before="40" w:after="4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1F4C"/>
    <w:rPr>
      <w:rFonts w:ascii="Trebuchet MS" w:hAnsi="Trebuchet MS" w:cs="Arial"/>
      <w:b/>
      <w:bCs/>
      <w:kern w:val="32"/>
      <w:sz w:val="28"/>
      <w:szCs w:val="32"/>
      <w:shd w:val="clear" w:color="auto" w:fill="D9D9D9"/>
      <w:lang w:eastAsia="en-US"/>
    </w:rPr>
  </w:style>
  <w:style w:type="character" w:customStyle="1" w:styleId="Heading2Char">
    <w:name w:val="Heading 2 Char"/>
    <w:aliases w:val="Nadpis_2 Char,AB Char,Numbered - 2 Char,Sub Heading Char,ignorer2 Char,Heading 2 Char1 Char,Heading 2 Char Char Char,Fejléc 2 Char"/>
    <w:basedOn w:val="DefaultParagraphFont"/>
    <w:link w:val="Heading2"/>
    <w:rsid w:val="00461F4C"/>
    <w:rPr>
      <w:rFonts w:ascii="Trebuchet MS" w:hAnsi="Trebuchet MS" w:cs="Arial"/>
      <w:b/>
      <w:bCs/>
      <w:sz w:val="24"/>
      <w:szCs w:val="28"/>
      <w:lang w:eastAsia="en-US"/>
    </w:rPr>
  </w:style>
  <w:style w:type="character" w:customStyle="1" w:styleId="Heading3Char">
    <w:name w:val="Heading 3 Char"/>
    <w:aliases w:val="Podpodkapitola Char,adpis 3 Char,KopCat. 3 Char,Numbered - 3 Char"/>
    <w:basedOn w:val="DefaultParagraphFont"/>
    <w:link w:val="Heading3"/>
    <w:rsid w:val="00461F4C"/>
    <w:rPr>
      <w:rFonts w:ascii="Trebuchet MS" w:hAnsi="Trebuchet MS" w:cs="Arial"/>
      <w:b/>
      <w:bCs/>
      <w:szCs w:val="26"/>
      <w:lang w:eastAsia="en-US"/>
    </w:rPr>
  </w:style>
  <w:style w:type="character" w:customStyle="1" w:styleId="Heading4Char">
    <w:name w:val="Heading 4 Char"/>
    <w:basedOn w:val="DefaultParagraphFont"/>
    <w:link w:val="Heading4"/>
    <w:rsid w:val="00461F4C"/>
    <w:rPr>
      <w:rFonts w:ascii="Trebuchet MS" w:hAnsi="Trebuchet MS" w:cs="Arial"/>
      <w:b/>
      <w:bCs/>
      <w:szCs w:val="28"/>
      <w:lang w:eastAsia="en-US"/>
    </w:rPr>
  </w:style>
  <w:style w:type="character" w:customStyle="1" w:styleId="Heading5Char">
    <w:name w:val="Heading 5 Char"/>
    <w:basedOn w:val="DefaultParagraphFont"/>
    <w:link w:val="Heading5"/>
    <w:rsid w:val="00461F4C"/>
    <w:rPr>
      <w:rFonts w:ascii="Trebuchet MS" w:hAnsi="Trebuchet MS"/>
      <w:b/>
      <w:bCs/>
      <w:szCs w:val="24"/>
      <w:lang w:eastAsia="en-US"/>
    </w:rPr>
  </w:style>
  <w:style w:type="character" w:customStyle="1" w:styleId="Heading6Char">
    <w:name w:val="Heading 6 Char"/>
    <w:basedOn w:val="DefaultParagraphFont"/>
    <w:link w:val="Heading6"/>
    <w:rsid w:val="00461F4C"/>
    <w:rPr>
      <w:rFonts w:ascii="Trebuchet MS" w:hAnsi="Trebuchet MS" w:cs="Arial"/>
      <w:b/>
      <w:caps/>
      <w:color w:val="003366"/>
      <w:spacing w:val="-22"/>
      <w:sz w:val="36"/>
      <w:szCs w:val="24"/>
      <w:lang w:eastAsia="en-US"/>
    </w:rPr>
  </w:style>
  <w:style w:type="character" w:customStyle="1" w:styleId="Heading7Char">
    <w:name w:val="Heading 7 Char"/>
    <w:basedOn w:val="DefaultParagraphFont"/>
    <w:link w:val="Heading7"/>
    <w:rsid w:val="00461F4C"/>
    <w:rPr>
      <w:rFonts w:ascii="Trebuchet MS" w:hAnsi="Trebuchet MS"/>
      <w:sz w:val="24"/>
      <w:szCs w:val="24"/>
      <w:lang w:eastAsia="en-US"/>
    </w:rPr>
  </w:style>
  <w:style w:type="character" w:customStyle="1" w:styleId="Heading8Char">
    <w:name w:val="Heading 8 Char"/>
    <w:basedOn w:val="DefaultParagraphFont"/>
    <w:link w:val="Heading8"/>
    <w:rsid w:val="00461F4C"/>
    <w:rPr>
      <w:rFonts w:ascii="Trebuchet MS" w:hAnsi="Trebuchet MS"/>
      <w:b/>
      <w:caps/>
      <w:sz w:val="32"/>
      <w:szCs w:val="24"/>
      <w:lang w:eastAsia="en-US"/>
    </w:rPr>
  </w:style>
  <w:style w:type="character" w:customStyle="1" w:styleId="Heading9Char">
    <w:name w:val="Heading 9 Char"/>
    <w:basedOn w:val="DefaultParagraphFont"/>
    <w:link w:val="Heading9"/>
    <w:rsid w:val="00461F4C"/>
    <w:rPr>
      <w:rFonts w:ascii="Trebuchet MS" w:hAnsi="Trebuchet MS"/>
      <w:b/>
      <w:bCs/>
      <w:szCs w:val="24"/>
      <w:lang w:eastAsia="en-US"/>
    </w:rPr>
  </w:style>
  <w:style w:type="paragraph" w:styleId="TOC1">
    <w:name w:val="toc 1"/>
    <w:basedOn w:val="Normal"/>
    <w:next w:val="Normal"/>
    <w:autoRedefine/>
    <w:uiPriority w:val="39"/>
    <w:qFormat/>
    <w:rsid w:val="00461F4C"/>
    <w:pPr>
      <w:spacing w:before="60" w:after="0"/>
      <w:jc w:val="both"/>
    </w:pPr>
    <w:rPr>
      <w:rFonts w:ascii="Arial (W1)" w:hAnsi="Arial (W1)"/>
      <w:b/>
    </w:rPr>
  </w:style>
  <w:style w:type="paragraph" w:styleId="TOC2">
    <w:name w:val="toc 2"/>
    <w:basedOn w:val="Normal"/>
    <w:next w:val="Normal"/>
    <w:autoRedefine/>
    <w:uiPriority w:val="39"/>
    <w:qFormat/>
    <w:rsid w:val="00461F4C"/>
    <w:pPr>
      <w:spacing w:before="0" w:after="0"/>
      <w:ind w:left="202"/>
    </w:pPr>
  </w:style>
  <w:style w:type="paragraph" w:styleId="TOC3">
    <w:name w:val="toc 3"/>
    <w:basedOn w:val="Normal"/>
    <w:next w:val="Normal"/>
    <w:autoRedefine/>
    <w:uiPriority w:val="39"/>
    <w:qFormat/>
    <w:rsid w:val="00461F4C"/>
    <w:pPr>
      <w:spacing w:before="0" w:after="0"/>
      <w:ind w:left="403"/>
    </w:pPr>
  </w:style>
  <w:style w:type="character" w:styleId="Emphasis">
    <w:name w:val="Emphasis"/>
    <w:uiPriority w:val="20"/>
    <w:qFormat/>
    <w:rsid w:val="00461F4C"/>
    <w:rPr>
      <w:i/>
      <w:iCs/>
    </w:rPr>
  </w:style>
  <w:style w:type="paragraph" w:styleId="NoSpacing">
    <w:name w:val="No Spacing"/>
    <w:uiPriority w:val="1"/>
    <w:qFormat/>
    <w:rsid w:val="00461F4C"/>
    <w:rPr>
      <w:rFonts w:ascii="Trebuchet MS" w:hAnsi="Trebuchet MS"/>
      <w:szCs w:val="24"/>
      <w:lang w:eastAsia="en-US"/>
    </w:rPr>
  </w:style>
  <w:style w:type="paragraph" w:styleId="ListParagraph">
    <w:name w:val="List Paragraph"/>
    <w:basedOn w:val="Normal"/>
    <w:link w:val="ListParagraphChar"/>
    <w:uiPriority w:val="34"/>
    <w:qFormat/>
    <w:rsid w:val="00461F4C"/>
    <w:pPr>
      <w:spacing w:before="0" w:after="240"/>
      <w:ind w:left="720"/>
      <w:jc w:val="both"/>
    </w:pPr>
    <w:rPr>
      <w:rFonts w:ascii="Times New Roman" w:hAnsi="Times New Roman"/>
      <w:sz w:val="24"/>
      <w:szCs w:val="20"/>
      <w:lang w:eastAsia="ro-RO"/>
    </w:rPr>
  </w:style>
  <w:style w:type="character" w:customStyle="1" w:styleId="ListParagraphChar">
    <w:name w:val="List Paragraph Char"/>
    <w:link w:val="ListParagraph"/>
    <w:uiPriority w:val="34"/>
    <w:locked/>
    <w:rsid w:val="00461F4C"/>
    <w:rPr>
      <w:sz w:val="24"/>
    </w:rPr>
  </w:style>
  <w:style w:type="paragraph" w:styleId="TOCHeading">
    <w:name w:val="TOC Heading"/>
    <w:basedOn w:val="Heading1"/>
    <w:next w:val="Normal"/>
    <w:uiPriority w:val="39"/>
    <w:semiHidden/>
    <w:unhideWhenUsed/>
    <w:qFormat/>
    <w:rsid w:val="00461F4C"/>
    <w:pPr>
      <w:keepLines/>
      <w:numPr>
        <w:numId w:val="0"/>
      </w:numPr>
      <w:shd w:val="clear" w:color="auto" w:fill="auto"/>
      <w:spacing w:before="480" w:after="0" w:line="276" w:lineRule="auto"/>
      <w:outlineLvl w:val="9"/>
    </w:pPr>
    <w:rPr>
      <w:rFonts w:ascii="Cambria" w:eastAsia="MS Gothic" w:hAnsi="Cambria" w:cs="Times New Roman"/>
      <w:color w:val="365F91"/>
      <w:kern w:val="0"/>
      <w:szCs w:val="28"/>
      <w:lang w:val="en-US" w:eastAsia="ja-JP"/>
    </w:rPr>
  </w:style>
  <w:style w:type="paragraph" w:customStyle="1" w:styleId="Normal1">
    <w:name w:val="Normal1"/>
    <w:basedOn w:val="Normal"/>
    <w:rsid w:val="007151A6"/>
    <w:pPr>
      <w:spacing w:before="60" w:after="60"/>
      <w:jc w:val="both"/>
    </w:p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
    <w:basedOn w:val="Normal"/>
    <w:link w:val="FootnoteTextChar"/>
    <w:semiHidden/>
    <w:rsid w:val="007151A6"/>
    <w:pPr>
      <w:spacing w:before="0" w:after="0"/>
    </w:pPr>
    <w:rPr>
      <w:sz w:val="16"/>
      <w:szCs w:val="20"/>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semiHidden/>
    <w:rsid w:val="007151A6"/>
    <w:rPr>
      <w:rFonts w:ascii="Trebuchet MS" w:hAnsi="Trebuchet MS"/>
      <w:sz w:val="16"/>
      <w:lang w:eastAsia="en-US"/>
    </w:rPr>
  </w:style>
  <w:style w:type="character" w:styleId="FootnoteReference">
    <w:name w:val="footnote reference"/>
    <w:aliases w:val="Footnote symbol"/>
    <w:semiHidden/>
    <w:rsid w:val="007151A6"/>
    <w:rPr>
      <w:vertAlign w:val="superscript"/>
    </w:rPr>
  </w:style>
  <w:style w:type="character" w:styleId="Hyperlink">
    <w:name w:val="Hyperlink"/>
    <w:rsid w:val="007151A6"/>
    <w:rPr>
      <w:color w:val="0000FF"/>
      <w:u w:val="single"/>
    </w:rPr>
  </w:style>
  <w:style w:type="paragraph" w:customStyle="1" w:styleId="bullet1">
    <w:name w:val="bullet1"/>
    <w:basedOn w:val="Normal"/>
    <w:rsid w:val="007151A6"/>
    <w:pPr>
      <w:numPr>
        <w:numId w:val="4"/>
      </w:numPr>
      <w:spacing w:before="40" w:after="40"/>
    </w:pPr>
  </w:style>
  <w:style w:type="character" w:customStyle="1" w:styleId="rvts7">
    <w:name w:val="rvts7"/>
    <w:basedOn w:val="DefaultParagraphFont"/>
    <w:rsid w:val="007151A6"/>
  </w:style>
  <w:style w:type="character" w:customStyle="1" w:styleId="rvts3">
    <w:name w:val="rvts3"/>
    <w:basedOn w:val="DefaultParagraphFont"/>
    <w:rsid w:val="007151A6"/>
  </w:style>
  <w:style w:type="character" w:customStyle="1" w:styleId="ln2tlitera">
    <w:name w:val="ln2tlitera"/>
    <w:basedOn w:val="DefaultParagraphFont"/>
    <w:rsid w:val="007151A6"/>
  </w:style>
  <w:style w:type="character" w:customStyle="1" w:styleId="ln2talineat">
    <w:name w:val="ln2talineat"/>
    <w:basedOn w:val="DefaultParagraphFont"/>
    <w:rsid w:val="007151A6"/>
  </w:style>
  <w:style w:type="paragraph" w:customStyle="1" w:styleId="CM1">
    <w:name w:val="CM1"/>
    <w:basedOn w:val="Normal"/>
    <w:next w:val="Normal"/>
    <w:uiPriority w:val="99"/>
    <w:rsid w:val="00C8251D"/>
    <w:pPr>
      <w:autoSpaceDE w:val="0"/>
      <w:autoSpaceDN w:val="0"/>
      <w:adjustRightInd w:val="0"/>
      <w:spacing w:before="0" w:after="0"/>
    </w:pPr>
    <w:rPr>
      <w:rFonts w:ascii="EUAlbertina" w:hAnsi="EUAlbertina"/>
      <w:sz w:val="24"/>
      <w:lang w:eastAsia="ro-RO"/>
    </w:rPr>
  </w:style>
  <w:style w:type="paragraph" w:customStyle="1" w:styleId="CM3">
    <w:name w:val="CM3"/>
    <w:basedOn w:val="Normal"/>
    <w:next w:val="Normal"/>
    <w:uiPriority w:val="99"/>
    <w:rsid w:val="00C8251D"/>
    <w:pPr>
      <w:autoSpaceDE w:val="0"/>
      <w:autoSpaceDN w:val="0"/>
      <w:adjustRightInd w:val="0"/>
      <w:spacing w:before="0" w:after="0"/>
    </w:pPr>
    <w:rPr>
      <w:rFonts w:ascii="EUAlbertina" w:hAnsi="EUAlbertina"/>
      <w:sz w:val="24"/>
      <w:lang w:eastAsia="ro-RO"/>
    </w:rPr>
  </w:style>
  <w:style w:type="character" w:customStyle="1" w:styleId="rvts9">
    <w:name w:val="rvts9"/>
    <w:basedOn w:val="DefaultParagraphFont"/>
    <w:rsid w:val="00EC3D5B"/>
  </w:style>
  <w:style w:type="character" w:customStyle="1" w:styleId="rvts6">
    <w:name w:val="rvts6"/>
    <w:basedOn w:val="DefaultParagraphFont"/>
    <w:rsid w:val="00EC3D5B"/>
  </w:style>
  <w:style w:type="paragraph" w:customStyle="1" w:styleId="marked">
    <w:name w:val="marked"/>
    <w:basedOn w:val="Normal"/>
    <w:rsid w:val="00EC3D5B"/>
    <w:pPr>
      <w:pBdr>
        <w:left w:val="single" w:sz="4" w:space="4" w:color="808080"/>
      </w:pBdr>
      <w:spacing w:before="60" w:after="60"/>
      <w:ind w:left="1620"/>
      <w:jc w:val="both"/>
    </w:pPr>
  </w:style>
  <w:style w:type="character" w:customStyle="1" w:styleId="rvts5">
    <w:name w:val="rvts5"/>
    <w:basedOn w:val="DefaultParagraphFont"/>
    <w:rsid w:val="00EC3D5B"/>
  </w:style>
  <w:style w:type="paragraph" w:styleId="NormalWeb">
    <w:name w:val="Normal (Web)"/>
    <w:basedOn w:val="Normal"/>
    <w:unhideWhenUsed/>
    <w:rsid w:val="00EC3D5B"/>
    <w:pPr>
      <w:spacing w:before="0" w:after="0"/>
    </w:pPr>
    <w:rPr>
      <w:rFonts w:ascii="Arial Unicode MS" w:hAnsi="Arial Unicode MS"/>
      <w:sz w:val="24"/>
      <w:lang w:val="en-US"/>
    </w:rPr>
  </w:style>
  <w:style w:type="paragraph" w:styleId="CommentText">
    <w:name w:val="annotation text"/>
    <w:basedOn w:val="Normal"/>
    <w:link w:val="CommentTextChar"/>
    <w:unhideWhenUsed/>
    <w:rsid w:val="00EC3D5B"/>
    <w:rPr>
      <w:szCs w:val="20"/>
    </w:rPr>
  </w:style>
  <w:style w:type="character" w:customStyle="1" w:styleId="CommentTextChar">
    <w:name w:val="Comment Text Char"/>
    <w:basedOn w:val="DefaultParagraphFont"/>
    <w:link w:val="CommentText"/>
    <w:rsid w:val="00EC3D5B"/>
    <w:rPr>
      <w:rFonts w:ascii="Trebuchet MS" w:hAnsi="Trebuchet MS"/>
      <w:lang w:eastAsia="en-US"/>
    </w:rPr>
  </w:style>
  <w:style w:type="paragraph" w:customStyle="1" w:styleId="numbers">
    <w:name w:val="numbers"/>
    <w:basedOn w:val="Normal"/>
    <w:semiHidden/>
    <w:rsid w:val="00EC3D5B"/>
    <w:pPr>
      <w:tabs>
        <w:tab w:val="num" w:pos="360"/>
      </w:tabs>
      <w:spacing w:before="0" w:after="0"/>
    </w:pPr>
    <w:rPr>
      <w:rFonts w:ascii="Times New Roman" w:hAnsi="Times New Roman"/>
      <w:sz w:val="24"/>
      <w:szCs w:val="20"/>
      <w:lang w:eastAsia="ro-RO"/>
    </w:rPr>
  </w:style>
  <w:style w:type="character" w:customStyle="1" w:styleId="def">
    <w:name w:val="def"/>
    <w:basedOn w:val="DefaultParagraphFont"/>
    <w:rsid w:val="00EC3D5B"/>
  </w:style>
  <w:style w:type="character" w:customStyle="1" w:styleId="rvts10">
    <w:name w:val="rvts10"/>
    <w:basedOn w:val="DefaultParagraphFont"/>
    <w:rsid w:val="00EC3D5B"/>
  </w:style>
  <w:style w:type="character" w:customStyle="1" w:styleId="rvts12">
    <w:name w:val="rvts12"/>
    <w:basedOn w:val="DefaultParagraphFont"/>
    <w:rsid w:val="00EC3D5B"/>
  </w:style>
  <w:style w:type="character" w:customStyle="1" w:styleId="style11">
    <w:name w:val="style11"/>
    <w:basedOn w:val="DefaultParagraphFont"/>
    <w:rsid w:val="00EC3D5B"/>
    <w:rPr>
      <w:rFonts w:ascii="Verdana" w:hAnsi="Verdana" w:hint="default"/>
      <w:sz w:val="18"/>
      <w:szCs w:val="18"/>
    </w:rPr>
  </w:style>
  <w:style w:type="character" w:styleId="CommentReference">
    <w:name w:val="annotation reference"/>
    <w:basedOn w:val="DefaultParagraphFont"/>
    <w:uiPriority w:val="99"/>
    <w:semiHidden/>
    <w:unhideWhenUsed/>
    <w:rsid w:val="00F27AC7"/>
    <w:rPr>
      <w:sz w:val="16"/>
      <w:szCs w:val="16"/>
    </w:rPr>
  </w:style>
  <w:style w:type="paragraph" w:styleId="CommentSubject">
    <w:name w:val="annotation subject"/>
    <w:basedOn w:val="CommentText"/>
    <w:next w:val="CommentText"/>
    <w:link w:val="CommentSubjectChar"/>
    <w:uiPriority w:val="99"/>
    <w:semiHidden/>
    <w:unhideWhenUsed/>
    <w:rsid w:val="00F27AC7"/>
    <w:rPr>
      <w:b/>
      <w:bCs/>
    </w:rPr>
  </w:style>
  <w:style w:type="character" w:customStyle="1" w:styleId="CommentSubjectChar">
    <w:name w:val="Comment Subject Char"/>
    <w:basedOn w:val="CommentTextChar"/>
    <w:link w:val="CommentSubject"/>
    <w:uiPriority w:val="99"/>
    <w:semiHidden/>
    <w:rsid w:val="00F27AC7"/>
    <w:rPr>
      <w:rFonts w:ascii="Trebuchet MS" w:hAnsi="Trebuchet MS"/>
      <w:b/>
      <w:bCs/>
      <w:lang w:eastAsia="en-US"/>
    </w:rPr>
  </w:style>
  <w:style w:type="paragraph" w:styleId="BalloonText">
    <w:name w:val="Balloon Text"/>
    <w:basedOn w:val="Normal"/>
    <w:link w:val="BalloonTextChar"/>
    <w:uiPriority w:val="99"/>
    <w:semiHidden/>
    <w:unhideWhenUsed/>
    <w:rsid w:val="00F27AC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AC7"/>
    <w:rPr>
      <w:rFonts w:ascii="Tahoma" w:hAnsi="Tahoma" w:cs="Tahoma"/>
      <w:sz w:val="16"/>
      <w:szCs w:val="16"/>
      <w:lang w:eastAsia="en-US"/>
    </w:rPr>
  </w:style>
  <w:style w:type="paragraph" w:styleId="Header">
    <w:name w:val="header"/>
    <w:basedOn w:val="Normal"/>
    <w:link w:val="HeaderChar"/>
    <w:uiPriority w:val="99"/>
    <w:unhideWhenUsed/>
    <w:rsid w:val="00A616C8"/>
    <w:pPr>
      <w:tabs>
        <w:tab w:val="center" w:pos="4536"/>
        <w:tab w:val="right" w:pos="9072"/>
      </w:tabs>
      <w:spacing w:before="0" w:after="0"/>
    </w:pPr>
  </w:style>
  <w:style w:type="character" w:customStyle="1" w:styleId="HeaderChar">
    <w:name w:val="Header Char"/>
    <w:basedOn w:val="DefaultParagraphFont"/>
    <w:link w:val="Header"/>
    <w:uiPriority w:val="99"/>
    <w:rsid w:val="00A616C8"/>
    <w:rPr>
      <w:rFonts w:ascii="Trebuchet MS" w:hAnsi="Trebuchet MS"/>
      <w:szCs w:val="24"/>
      <w:lang w:eastAsia="en-US"/>
    </w:rPr>
  </w:style>
  <w:style w:type="paragraph" w:styleId="Footer">
    <w:name w:val="footer"/>
    <w:basedOn w:val="Normal"/>
    <w:link w:val="FooterChar"/>
    <w:uiPriority w:val="99"/>
    <w:unhideWhenUsed/>
    <w:rsid w:val="00A616C8"/>
    <w:pPr>
      <w:tabs>
        <w:tab w:val="center" w:pos="4536"/>
        <w:tab w:val="right" w:pos="9072"/>
      </w:tabs>
      <w:spacing w:before="0" w:after="0"/>
    </w:pPr>
  </w:style>
  <w:style w:type="character" w:customStyle="1" w:styleId="FooterChar">
    <w:name w:val="Footer Char"/>
    <w:basedOn w:val="DefaultParagraphFont"/>
    <w:link w:val="Footer"/>
    <w:uiPriority w:val="99"/>
    <w:rsid w:val="00A616C8"/>
    <w:rPr>
      <w:rFonts w:ascii="Trebuchet MS" w:hAnsi="Trebuchet MS"/>
      <w:szCs w:val="24"/>
      <w:lang w:eastAsia="en-US"/>
    </w:rPr>
  </w:style>
  <w:style w:type="paragraph" w:customStyle="1" w:styleId="alignmentl">
    <w:name w:val="alignment_l"/>
    <w:basedOn w:val="Normal"/>
    <w:rsid w:val="004978B1"/>
    <w:pPr>
      <w:spacing w:before="100" w:beforeAutospacing="1" w:after="100" w:afterAutospacing="1"/>
    </w:pPr>
    <w:rPr>
      <w:rFonts w:ascii="Times New Roman" w:hAnsi="Times New Roman"/>
      <w:sz w:val="24"/>
      <w:lang w:val="en-US"/>
    </w:rPr>
  </w:style>
  <w:style w:type="paragraph" w:customStyle="1" w:styleId="CM4">
    <w:name w:val="CM4"/>
    <w:basedOn w:val="Normal"/>
    <w:next w:val="Normal"/>
    <w:uiPriority w:val="99"/>
    <w:rsid w:val="00ED6E1F"/>
    <w:pPr>
      <w:autoSpaceDE w:val="0"/>
      <w:autoSpaceDN w:val="0"/>
      <w:adjustRightInd w:val="0"/>
      <w:spacing w:before="0" w:after="0"/>
    </w:pPr>
    <w:rPr>
      <w:rFonts w:ascii="EUAlbertina" w:hAnsi="EUAlbertina"/>
      <w:sz w:val="24"/>
      <w:lang w:eastAsia="ro-RO"/>
    </w:rPr>
  </w:style>
  <w:style w:type="paragraph" w:styleId="Revision">
    <w:name w:val="Revision"/>
    <w:hidden/>
    <w:uiPriority w:val="99"/>
    <w:semiHidden/>
    <w:rsid w:val="000A426B"/>
    <w:rPr>
      <w:rFonts w:ascii="Trebuchet MS" w:hAnsi="Trebuchet M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8754">
      <w:bodyDiv w:val="1"/>
      <w:marLeft w:val="0"/>
      <w:marRight w:val="0"/>
      <w:marTop w:val="0"/>
      <w:marBottom w:val="0"/>
      <w:divBdr>
        <w:top w:val="none" w:sz="0" w:space="0" w:color="auto"/>
        <w:left w:val="none" w:sz="0" w:space="0" w:color="auto"/>
        <w:bottom w:val="none" w:sz="0" w:space="0" w:color="auto"/>
        <w:right w:val="none" w:sz="0" w:space="0" w:color="auto"/>
      </w:divBdr>
    </w:div>
    <w:div w:id="193688900">
      <w:bodyDiv w:val="1"/>
      <w:marLeft w:val="0"/>
      <w:marRight w:val="0"/>
      <w:marTop w:val="0"/>
      <w:marBottom w:val="0"/>
      <w:divBdr>
        <w:top w:val="none" w:sz="0" w:space="0" w:color="auto"/>
        <w:left w:val="none" w:sz="0" w:space="0" w:color="auto"/>
        <w:bottom w:val="none" w:sz="0" w:space="0" w:color="auto"/>
        <w:right w:val="none" w:sz="0" w:space="0" w:color="auto"/>
      </w:divBdr>
    </w:div>
    <w:div w:id="312179109">
      <w:bodyDiv w:val="1"/>
      <w:marLeft w:val="0"/>
      <w:marRight w:val="0"/>
      <w:marTop w:val="0"/>
      <w:marBottom w:val="0"/>
      <w:divBdr>
        <w:top w:val="none" w:sz="0" w:space="0" w:color="auto"/>
        <w:left w:val="none" w:sz="0" w:space="0" w:color="auto"/>
        <w:bottom w:val="none" w:sz="0" w:space="0" w:color="auto"/>
        <w:right w:val="none" w:sz="0" w:space="0" w:color="auto"/>
      </w:divBdr>
    </w:div>
    <w:div w:id="647131654">
      <w:bodyDiv w:val="1"/>
      <w:marLeft w:val="0"/>
      <w:marRight w:val="0"/>
      <w:marTop w:val="0"/>
      <w:marBottom w:val="0"/>
      <w:divBdr>
        <w:top w:val="none" w:sz="0" w:space="0" w:color="auto"/>
        <w:left w:val="none" w:sz="0" w:space="0" w:color="auto"/>
        <w:bottom w:val="none" w:sz="0" w:space="0" w:color="auto"/>
        <w:right w:val="none" w:sz="0" w:space="0" w:color="auto"/>
      </w:divBdr>
    </w:div>
    <w:div w:id="896664517">
      <w:bodyDiv w:val="1"/>
      <w:marLeft w:val="0"/>
      <w:marRight w:val="0"/>
      <w:marTop w:val="0"/>
      <w:marBottom w:val="0"/>
      <w:divBdr>
        <w:top w:val="none" w:sz="0" w:space="0" w:color="auto"/>
        <w:left w:val="none" w:sz="0" w:space="0" w:color="auto"/>
        <w:bottom w:val="none" w:sz="0" w:space="0" w:color="auto"/>
        <w:right w:val="none" w:sz="0" w:space="0" w:color="auto"/>
      </w:divBdr>
    </w:div>
    <w:div w:id="1033261940">
      <w:bodyDiv w:val="1"/>
      <w:marLeft w:val="0"/>
      <w:marRight w:val="0"/>
      <w:marTop w:val="0"/>
      <w:marBottom w:val="0"/>
      <w:divBdr>
        <w:top w:val="none" w:sz="0" w:space="0" w:color="auto"/>
        <w:left w:val="none" w:sz="0" w:space="0" w:color="auto"/>
        <w:bottom w:val="none" w:sz="0" w:space="0" w:color="auto"/>
        <w:right w:val="none" w:sz="0" w:space="0" w:color="auto"/>
      </w:divBdr>
    </w:div>
    <w:div w:id="1065253007">
      <w:bodyDiv w:val="1"/>
      <w:marLeft w:val="0"/>
      <w:marRight w:val="0"/>
      <w:marTop w:val="0"/>
      <w:marBottom w:val="0"/>
      <w:divBdr>
        <w:top w:val="none" w:sz="0" w:space="0" w:color="auto"/>
        <w:left w:val="none" w:sz="0" w:space="0" w:color="auto"/>
        <w:bottom w:val="none" w:sz="0" w:space="0" w:color="auto"/>
        <w:right w:val="none" w:sz="0" w:space="0" w:color="auto"/>
      </w:divBdr>
    </w:div>
    <w:div w:id="1069235058">
      <w:bodyDiv w:val="1"/>
      <w:marLeft w:val="0"/>
      <w:marRight w:val="0"/>
      <w:marTop w:val="0"/>
      <w:marBottom w:val="0"/>
      <w:divBdr>
        <w:top w:val="none" w:sz="0" w:space="0" w:color="auto"/>
        <w:left w:val="none" w:sz="0" w:space="0" w:color="auto"/>
        <w:bottom w:val="none" w:sz="0" w:space="0" w:color="auto"/>
        <w:right w:val="none" w:sz="0" w:space="0" w:color="auto"/>
      </w:divBdr>
    </w:div>
    <w:div w:id="1270821387">
      <w:bodyDiv w:val="1"/>
      <w:marLeft w:val="0"/>
      <w:marRight w:val="0"/>
      <w:marTop w:val="0"/>
      <w:marBottom w:val="0"/>
      <w:divBdr>
        <w:top w:val="none" w:sz="0" w:space="0" w:color="auto"/>
        <w:left w:val="none" w:sz="0" w:space="0" w:color="auto"/>
        <w:bottom w:val="none" w:sz="0" w:space="0" w:color="auto"/>
        <w:right w:val="none" w:sz="0" w:space="0" w:color="auto"/>
      </w:divBdr>
    </w:div>
    <w:div w:id="1498809418">
      <w:bodyDiv w:val="1"/>
      <w:marLeft w:val="0"/>
      <w:marRight w:val="0"/>
      <w:marTop w:val="0"/>
      <w:marBottom w:val="0"/>
      <w:divBdr>
        <w:top w:val="none" w:sz="0" w:space="0" w:color="auto"/>
        <w:left w:val="none" w:sz="0" w:space="0" w:color="auto"/>
        <w:bottom w:val="none" w:sz="0" w:space="0" w:color="auto"/>
        <w:right w:val="none" w:sz="0" w:space="0" w:color="auto"/>
      </w:divBdr>
    </w:div>
    <w:div w:id="1544831120">
      <w:bodyDiv w:val="1"/>
      <w:marLeft w:val="0"/>
      <w:marRight w:val="0"/>
      <w:marTop w:val="0"/>
      <w:marBottom w:val="0"/>
      <w:divBdr>
        <w:top w:val="none" w:sz="0" w:space="0" w:color="auto"/>
        <w:left w:val="none" w:sz="0" w:space="0" w:color="auto"/>
        <w:bottom w:val="none" w:sz="0" w:space="0" w:color="auto"/>
        <w:right w:val="none" w:sz="0" w:space="0" w:color="auto"/>
      </w:divBdr>
    </w:div>
    <w:div w:id="1610509411">
      <w:bodyDiv w:val="1"/>
      <w:marLeft w:val="0"/>
      <w:marRight w:val="0"/>
      <w:marTop w:val="0"/>
      <w:marBottom w:val="0"/>
      <w:divBdr>
        <w:top w:val="none" w:sz="0" w:space="0" w:color="auto"/>
        <w:left w:val="none" w:sz="0" w:space="0" w:color="auto"/>
        <w:bottom w:val="none" w:sz="0" w:space="0" w:color="auto"/>
        <w:right w:val="none" w:sz="0" w:space="0" w:color="auto"/>
      </w:divBdr>
    </w:div>
    <w:div w:id="196904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nforegio.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588FC-9FBD-456A-962A-4977BDF74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15</Pages>
  <Words>7530</Words>
  <Characters>43680</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BOUROSU</dc:creator>
  <cp:lastModifiedBy>Alina BOUROSU</cp:lastModifiedBy>
  <cp:revision>41</cp:revision>
  <cp:lastPrinted>2015-08-14T07:56:00Z</cp:lastPrinted>
  <dcterms:created xsi:type="dcterms:W3CDTF">2015-07-10T12:15:00Z</dcterms:created>
  <dcterms:modified xsi:type="dcterms:W3CDTF">2015-11-04T12:50:00Z</dcterms:modified>
</cp:coreProperties>
</file>